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onsolas" w:hAnsi="Consolas"/>
          <w:b/>
          <w:i w:val="0"/>
          <w:color w:val="FFFFFF"/>
          <w:sz w:val="20"/>
          <w:shd w:val="clear" w:fill="17181B"/>
        </w:rPr>
        <w:t>MI</w:t>
      </w:r>
      <w:r>
        <w:rPr>
          <w:rFonts w:ascii="Consolas" w:hAnsi="Consolas"/>
          <w:b/>
          <w:i w:val="0"/>
          <w:color w:val="17181B"/>
          <w:sz w:val="20"/>
        </w:rPr>
        <w:t xml:space="preserve">  MARKET INTELLIGENCE TOOLS</w:t>
      </w:r>
      <w:r>
        <w:rPr>
          <w:rFonts w:ascii="Consolas" w:hAnsi="Consolas"/>
          <w:b w:val="0"/>
          <w:i w:val="0"/>
          <w:color w:val="6B6A63"/>
          <w:sz w:val="18"/>
        </w:rPr>
        <w:t xml:space="preserve">   ·   marketintelligencetools.com/templates/3c-analysis/</w:t>
      </w:r>
    </w:p>
    <w:p>
      <w:pPr>
        <w:spacing w:after="240"/>
        <w:pBdr>
          <w:bottom w:val="single" w:color="D9A04B" w:sz="12"/>
        </w:pBdr>
      </w:pPr>
    </w:p>
    <w:p>
      <w:pPr>
        <w:spacing w:after="60"/>
      </w:pPr>
      <w:r>
        <w:rPr>
          <w:rFonts w:ascii="Georgia" w:hAnsi="Georgia"/>
          <w:b/>
          <w:i w:val="0"/>
          <w:color w:val="17181B"/>
          <w:sz w:val="52"/>
        </w:rPr>
        <w:t>3C Analysis Template</w:t>
      </w:r>
    </w:p>
    <w:p>
      <w:pPr>
        <w:spacing w:after="280"/>
      </w:pPr>
      <w:r>
        <w:rPr>
          <w:rFonts w:ascii="Georgia" w:hAnsi="Georgia"/>
          <w:b w:val="0"/>
          <w:i/>
          <w:color w:val="6B6A63"/>
          <w:sz w:val="22"/>
        </w:rPr>
        <w:t>Fill in each section below. Delete the italic worked example before sharing.</w:t>
      </w:r>
    </w:p>
    <w:p>
      <w:pPr>
        <w:spacing w:before="80" w:after="80"/>
      </w:pPr>
      <w:r>
        <w:rPr>
          <w:rFonts w:ascii="Georgia" w:hAnsi="Georgia"/>
          <w:b/>
          <w:i w:val="0"/>
          <w:color w:val="17181B"/>
          <w:sz w:val="30"/>
        </w:rPr>
        <w:t>1. Company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Core products or services, revenue by line, cost structure, and resources on hand. Focus on the one strength worth funding first.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Core products / services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00"/>
      </w:pPr>
      <w:r>
        <w:rPr>
          <w:rFonts w:ascii="Georgia" w:hAnsi="Georgia"/>
          <w:b w:val="0"/>
          <w:i/>
          <w:color w:val="3A3935"/>
          <w:sz w:val="22"/>
        </w:rPr>
        <w:t>Worked example: route-optimization SaaS platform for regional trucking fleets; cold-chain temperature-monitoring add-on (pilot).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Revenue by line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00"/>
      </w:pPr>
      <w:r>
        <w:rPr>
          <w:rFonts w:ascii="Georgia" w:hAnsi="Georgia"/>
          <w:b w:val="0"/>
          <w:i/>
          <w:color w:val="3A3935"/>
          <w:sz w:val="22"/>
        </w:rPr>
        <w:t>Worked example: $2.1M ARR / 220 fleet customers (core routing product); $340K from 12 accounts (cold-chain pilot module).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Cost structure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</w:tblPr>
      <w:tblGrid>
        <w:gridCol w:w="5112"/>
        <w:gridCol w:w="5112"/>
      </w:tblGrid>
      <w:tr>
        <w:tc>
          <w:tcPr>
            <w:tcW w:type="dxa" w:w="5112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COST CATEGORY</w:t>
            </w:r>
          </w:p>
        </w:tc>
        <w:tc>
          <w:tcPr>
            <w:tcW w:type="dxa" w:w="5112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% OF TOTAL</w:t>
            </w:r>
          </w:p>
        </w:tc>
      </w:tr>
      <w:tr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Cloud infrastructure &amp; support</w:t>
            </w:r>
          </w:p>
        </w:tc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68%</w:t>
            </w:r>
          </w:p>
        </w:tc>
      </w:tr>
      <w:tr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R&amp;D</w:t>
            </w:r>
          </w:p>
        </w:tc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22%</w:t>
            </w:r>
          </w:p>
        </w:tc>
      </w:tr>
      <w:tr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Sales &amp; marketing</w:t>
            </w:r>
          </w:p>
        </w:tc>
        <w:tc>
          <w:tcPr>
            <w:tcW w:type="dxa" w:w="511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10%</w:t>
            </w:r>
          </w:p>
        </w:tc>
      </w:tr>
    </w:tbl>
    <w:p>
      <w:pPr>
        <w:spacing w:after="200"/>
      </w:pP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Resources: the mono-hito-kane order (things, then people, then money)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</w:tblPr>
      <w:tblGrid>
        <w:gridCol w:w="3408"/>
        <w:gridCol w:w="3408"/>
        <w:gridCol w:w="3408"/>
      </w:tblGrid>
      <w:tr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MONO (THINGS)</w:t>
            </w:r>
          </w:p>
        </w:tc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HITO (PEOPLE)</w:t>
            </w:r>
          </w:p>
        </w:tc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KANE (MONEY)</w:t>
            </w:r>
          </w:p>
        </w:tc>
      </w:tr>
      <w:tr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Existing hardware-gateway partnership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3 sensor-integration engineers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$1.2M runway</w:t>
            </w:r>
          </w:p>
        </w:tc>
      </w:tr>
    </w:tbl>
    <w:p>
      <w:pPr>
        <w:spacing w:after="200"/>
      </w:pP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Strengths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List 2-4 strengths a rival would concede.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Weaknesses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List 2-4 honest weaknesses.</w:t>
      </w:r>
    </w:p>
    <w:p>
      <w:pPr>
        <w:spacing w:after="2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before="360" w:after="80"/>
      </w:pPr>
      <w:r>
        <w:rPr>
          <w:rFonts w:ascii="Georgia" w:hAnsi="Georgia"/>
          <w:b/>
          <w:i w:val="0"/>
          <w:color w:val="17181B"/>
          <w:sz w:val="30"/>
        </w:rPr>
        <w:t>2. Customer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Define the target market, then segment by objective and by coverage.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Target market definition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00"/>
      </w:pPr>
      <w:r>
        <w:rPr>
          <w:rFonts w:ascii="Georgia" w:hAnsi="Georgia"/>
          <w:b w:val="0"/>
          <w:i/>
          <w:color w:val="3A3935"/>
          <w:sz w:val="22"/>
        </w:rPr>
        <w:t>Worked example: regional trucking fleets already on the core routing platform, screened for cold-chain / temperature-sensitive freight exposure.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Segmentation by objective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</w:tblPr>
      <w:tblGrid>
        <w:gridCol w:w="3408"/>
        <w:gridCol w:w="3408"/>
        <w:gridCol w:w="3408"/>
      </w:tblGrid>
      <w:tr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BUYING REASON</w:t>
            </w:r>
          </w:p>
        </w:tc>
        <w:tc>
          <w:tcPr>
            <w:tcW w:type="dxa" w:w="3408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# OF ACCOUNTS</w:t>
            </w:r>
          </w:p>
        </w:tc>
      </w:tr>
      <w:tr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FSMA compliance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Avoiding Food Safety Modernization Act temperature-excursion violations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8</w:t>
            </w:r>
          </w:p>
        </w:tc>
      </w:tr>
      <w:tr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Insurance-premium reduction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Lowering insurance premiums</w:t>
            </w:r>
          </w:p>
        </w:tc>
        <w:tc>
          <w:tcPr>
            <w:tcW w:type="dxa" w:w="340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4</w:t>
            </w:r>
          </w:p>
        </w:tc>
      </w:tr>
    </w:tbl>
    <w:p>
      <w:pPr>
        <w:spacing w:after="200"/>
      </w:pP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Segmentation by coverage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00"/>
      </w:pPr>
      <w:r>
        <w:rPr>
          <w:rFonts w:ascii="Georgia" w:hAnsi="Georgia"/>
          <w:b w:val="0"/>
          <w:i/>
          <w:color w:val="3A3935"/>
          <w:sz w:val="22"/>
        </w:rPr>
        <w:t>Worked example: Midwest only, against an estimated 640 same-size distributors nationally — under 2% of the target audience reached.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Customer needs / pain points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00"/>
      </w:pPr>
      <w:r>
        <w:rPr>
          <w:rFonts w:ascii="Georgia" w:hAnsi="Georgia"/>
          <w:b w:val="0"/>
          <w:i/>
          <w:color w:val="3A3935"/>
          <w:sz w:val="22"/>
        </w:rPr>
        <w:t>Worked example: average $9,200 in spoiled-load claims per temperature-excursion event, from 14 buyer interviews.</w:t>
      </w:r>
    </w:p>
    <w:p>
      <w:pPr>
        <w:spacing w:after="40"/>
      </w:pPr>
      <w:r>
        <w:rPr>
          <w:rFonts w:ascii="Georgia" w:hAnsi="Georgia"/>
          <w:b/>
          <w:i w:val="0"/>
          <w:color w:val="17181B"/>
          <w:sz w:val="22"/>
        </w:rPr>
        <w:t>Research sources used</w:t>
      </w:r>
    </w:p>
    <w:p>
      <w:pPr>
        <w:spacing w:after="80"/>
      </w:pPr>
      <w:r>
        <w:rPr>
          <w:rFonts w:ascii="Georgia" w:hAnsi="Georgia"/>
          <w:b w:val="0"/>
          <w:i w:val="0"/>
          <w:color w:val="3A3935"/>
          <w:sz w:val="22"/>
        </w:rPr>
        <w:t>____________________________________________________________________________________</w:t>
      </w:r>
    </w:p>
    <w:p>
      <w:pPr>
        <w:spacing w:after="280"/>
      </w:pPr>
      <w:r>
        <w:rPr>
          <w:rFonts w:ascii="Georgia" w:hAnsi="Georgia"/>
          <w:b w:val="0"/>
          <w:i/>
          <w:color w:val="3A3935"/>
          <w:sz w:val="22"/>
        </w:rPr>
        <w:t>Worked example: 14 buyer interviews, insurance-claims data supplied by pilot accounts, FSMA compliance guidance.</w:t>
      </w:r>
    </w:p>
    <w:p>
      <w:pPr>
        <w:spacing w:before="360" w:after="80"/>
      </w:pPr>
      <w:r>
        <w:rPr>
          <w:rFonts w:ascii="Georgia" w:hAnsi="Georgia"/>
          <w:b/>
          <w:i w:val="0"/>
          <w:color w:val="17181B"/>
          <w:sz w:val="30"/>
        </w:rPr>
        <w:t>3. Competitor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List direct competitors, their pricing, and the structural reason each can or can't match a move.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COMPETITOR</w:t>
            </w:r>
          </w:p>
        </w:tc>
        <w:tc>
          <w:tcPr>
            <w:tcW w:type="dxa" w:w="2045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POSITIONING</w:t>
            </w:r>
          </w:p>
        </w:tc>
        <w:tc>
          <w:tcPr>
            <w:tcW w:type="dxa" w:w="2045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PRICE</w:t>
            </w:r>
          </w:p>
        </w:tc>
        <w:tc>
          <w:tcPr>
            <w:tcW w:type="dxa" w:w="2045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STRENGTH</w:t>
            </w:r>
          </w:p>
        </w:tc>
        <w:tc>
          <w:tcPr>
            <w:tcW w:type="dxa" w:w="2045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STRUCTURAL WEAKNESS</w:t>
            </w:r>
          </w:p>
        </w:tc>
      </w:tr>
      <w:tr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Bundled telematics add-on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Low-cost sensor bolt-on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$12/truck/mo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Existing fleet install base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No audit-grade logging</w:t>
            </w:r>
          </w:p>
        </w:tc>
      </w:tr>
      <w:tr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Cold-chain specialist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Standalone hardware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$45/truck/mo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Purpose-built monitoring</w:t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Hardware lock-in raises exit cost</w:t>
            </w:r>
          </w:p>
        </w:tc>
      </w:tr>
      <w:tr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04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</w:tr>
    </w:tbl>
    <w:p>
      <w:pPr>
        <w:spacing w:after="200"/>
      </w:pPr>
    </w:p>
    <w:p>
      <w:pPr>
        <w:spacing w:before="360" w:after="80"/>
      </w:pPr>
      <w:r>
        <w:rPr>
          <w:rFonts w:ascii="Georgia" w:hAnsi="Georgia"/>
          <w:b/>
          <w:i w:val="0"/>
          <w:color w:val="17181B"/>
          <w:sz w:val="30"/>
        </w:rPr>
        <w:t>4. Synthesis (Key Success Factor)</w:t>
      </w:r>
    </w:p>
    <w:p>
      <w:pPr>
        <w:spacing w:after="120"/>
      </w:pPr>
      <w:r>
        <w:rPr>
          <w:rFonts w:ascii="Georgia" w:hAnsi="Georgia"/>
          <w:b w:val="0"/>
          <w:i/>
          <w:color w:val="6B6A63"/>
          <w:sz w:val="22"/>
        </w:rPr>
        <w:t>Mark where a company strength, a customer need, and a competitor gap overlap. That overlap is the key success factor.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COMPANY STRENGTH</w:t>
            </w:r>
          </w:p>
        </w:tc>
        <w:tc>
          <w:tcPr>
            <w:tcW w:type="dxa" w:w="2556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CUSTOMER NEED</w:t>
            </w:r>
          </w:p>
        </w:tc>
        <w:tc>
          <w:tcPr>
            <w:tcW w:type="dxa" w:w="2556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COMPETITOR GAP</w:t>
            </w:r>
          </w:p>
        </w:tc>
        <w:tc>
          <w:tcPr>
            <w:tcW w:type="dxa" w:w="2556"/>
            <w:shd w:val="clear" w:fill="17181B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onsolas" w:hAnsi="Consolas"/>
                <w:b/>
                <w:i w:val="0"/>
                <w:color w:val="FFFFFF"/>
                <w:sz w:val="18"/>
              </w:rPr>
              <w:t>RESULTING KSF</w:t>
            </w:r>
          </w:p>
        </w:tc>
      </w:tr>
      <w:tr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220-fleet upsell channel</w:t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FSMA-grade audit logging</w:t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Bundled rival can't fund it at $12/mo</w:t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Georgia" w:hAnsi="Georgia"/>
                <w:b w:val="0"/>
                <w:i/>
                <w:color w:val="3A3935"/>
                <w:sz w:val="21"/>
              </w:rPr>
              <w:t>Launch at $28/truck/mo, positioned on compliance logging.</w:t>
            </w:r>
          </w:p>
        </w:tc>
      </w:tr>
      <w:tr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  <w:tc>
          <w:tcPr>
            <w:tcW w:type="dxa" w:w="255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hAnsi="Georgia"/>
                <w:b w:val="0"/>
                <w:i w:val="0"/>
                <w:color w:val="3A3935"/>
                <w:sz w:val="21"/>
              </w:rPr>
            </w:r>
          </w:p>
        </w:tc>
      </w:tr>
    </w:tbl>
    <w:p>
      <w:pPr>
        <w:spacing w:after="200"/>
      </w:pPr>
    </w:p>
    <w:p>
      <w:pPr>
        <w:spacing w:before="320"/>
      </w:pPr>
      <w:r>
        <w:rPr>
          <w:rFonts w:ascii="Consolas" w:hAnsi="Consolas"/>
          <w:b w:val="0"/>
          <w:i w:val="0"/>
          <w:color w:val="6B6A63"/>
          <w:sz w:val="16"/>
        </w:rPr>
        <w:t>marketintelligencetools.com/templates/3c-analysis/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