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onsolas" w:hAnsi="Consolas"/>
          <w:b/>
          <w:color w:val="FFFFFF"/>
          <w:sz w:val="20"/>
          <w:shd w:val="clear" w:fill="17181B"/>
        </w:rPr>
        <w:t>MI</w:t>
      </w:r>
      <w:r>
        <w:rPr>
          <w:rFonts w:ascii="Consolas" w:hAnsi="Consolas"/>
          <w:b/>
          <w:color w:val="17181B"/>
          <w:sz w:val="20"/>
        </w:rPr>
        <w:t xml:space="preserve">  MARKET INTELLIGENCE TOOLS</w:t>
      </w:r>
      <w:r>
        <w:rPr>
          <w:rFonts w:ascii="Consolas" w:hAnsi="Consolas"/>
          <w:color w:val="6B6A63"/>
          <w:sz w:val="17"/>
        </w:rPr>
        <w:t xml:space="preserve">   ·   marketintelligencetools.com/templates/customer-engagement-strategy-template</w:t>
      </w:r>
    </w:p>
    <w:p>
      <w:pPr>
        <w:spacing w:before="120" w:after="80"/>
      </w:pPr>
      <w:r>
        <w:rPr>
          <w:rFonts w:ascii="Georgia" w:hAnsi="Georgia"/>
          <w:b/>
          <w:color w:val="17181B"/>
          <w:sz w:val="52"/>
        </w:rPr>
        <w:t>Customer Engagement Strategy Template</w:t>
      </w:r>
    </w:p>
    <w:p>
      <w:pPr>
        <w:spacing w:after="280"/>
      </w:pPr>
      <w:r>
        <w:rPr>
          <w:rFonts w:ascii="Georgia" w:hAnsi="Georgia"/>
          <w:i/>
          <w:color w:val="6B6A63"/>
          <w:sz w:val="22"/>
        </w:rPr>
        <w:t>Fill in each section below. The italic row under each field is the worked example from the article: Riverton Analytics, a 240-account SaaS vendor cutting 90-day churn from 18% to 12%.</w:t>
      </w:r>
    </w:p>
    <w:p>
      <w:pPr>
        <w:spacing w:before="320" w:after="80"/>
      </w:pPr>
      <w:r>
        <w:rPr>
          <w:rFonts w:ascii="Georgia" w:hAnsi="Georgia"/>
          <w:b/>
          <w:color w:val="17181B"/>
          <w:sz w:val="30"/>
        </w:rPr>
        <w:t>1. Objective</w:t>
      </w:r>
    </w:p>
    <w:p>
      <w:pPr>
        <w:spacing w:after="80"/>
      </w:pPr>
      <w:r>
        <w:rPr>
          <w:rFonts w:ascii="Arial" w:hAnsi="Arial"/>
          <w:color w:val="17181B"/>
          <w:sz w:val="20"/>
        </w:rPr>
        <w:t>State the business outcome this plan serves, retention, expansion, or new customers acquired, as a number with a deadline, not a mood.</w:t>
      </w:r>
    </w:p>
    <w:p>
      <w:pPr>
        <w:spacing w:after="120"/>
      </w:pPr>
      <w:r>
        <w:rPr>
          <w:rFonts w:ascii="Arial" w:hAnsi="Arial"/>
          <w:i/>
          <w:color w:val="6B6A63"/>
          <w:sz w:val="20"/>
        </w:rPr>
        <w:t>Example: Cut 90-day churn from 18% to 12% among accounts under 500 seats by the end of Q3.</w:t>
      </w:r>
    </w:p>
    <w:p>
      <w:pPr>
        <w:spacing w:after="200"/>
      </w:pPr>
      <w:r>
        <w:rPr>
          <w:rFonts w:ascii="Arial" w:hAnsi="Arial"/>
          <w:b/>
          <w:color w:val="17181B"/>
          <w:sz w:val="20"/>
        </w:rPr>
        <w:t xml:space="preserve">Your objective: </w:t>
      </w:r>
      <w:r>
        <w:rPr>
          <w:rFonts w:ascii="Arial" w:hAnsi="Arial"/>
          <w:color w:val="17181B"/>
          <w:sz w:val="20"/>
        </w:rPr>
        <w:t>_______________________________________________________</w:t>
      </w:r>
    </w:p>
    <w:p>
      <w:pPr>
        <w:spacing w:before="320" w:after="80"/>
      </w:pPr>
      <w:r>
        <w:rPr>
          <w:rFonts w:ascii="Georgia" w:hAnsi="Georgia"/>
          <w:b/>
          <w:color w:val="17181B"/>
          <w:sz w:val="30"/>
        </w:rPr>
        <w:t>2. Audience &amp; Segments</w:t>
      </w:r>
    </w:p>
    <w:p>
      <w:pPr>
        <w:spacing w:after="80"/>
      </w:pPr>
      <w:r>
        <w:rPr>
          <w:rFonts w:ascii="Arial" w:hAnsi="Arial"/>
          <w:color w:val="17181B"/>
          <w:sz w:val="20"/>
        </w:rPr>
        <w:t>Name three to five customer segments, built from data you already have: usage frequency, plan tier, or time since last login.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  <w:shd w:val="clear" w:fill="17181B"/>
          </w:tcPr>
          <w:p>
            <w:r/>
            <w:r>
              <w:rPr>
                <w:rFonts w:ascii="Consolas" w:hAnsi="Consolas"/>
                <w:b/>
                <w:i w:val="0"/>
                <w:color w:val="FFFFFF"/>
                <w:sz w:val="19"/>
              </w:rPr>
              <w:t>Segment</w:t>
            </w:r>
          </w:p>
        </w:tc>
        <w:tc>
          <w:tcPr>
            <w:tcW w:type="dxa" w:w="2412"/>
            <w:shd w:val="clear" w:fill="17181B"/>
          </w:tcPr>
          <w:p>
            <w:r/>
            <w:r>
              <w:rPr>
                <w:rFonts w:ascii="Consolas" w:hAnsi="Consolas"/>
                <w:b/>
                <w:i w:val="0"/>
                <w:color w:val="FFFFFF"/>
                <w:sz w:val="19"/>
              </w:rPr>
              <w:t>Definition</w:t>
            </w:r>
          </w:p>
        </w:tc>
        <w:tc>
          <w:tcPr>
            <w:tcW w:type="dxa" w:w="2412"/>
            <w:shd w:val="clear" w:fill="17181B"/>
          </w:tcPr>
          <w:p>
            <w:r/>
            <w:r>
              <w:rPr>
                <w:rFonts w:ascii="Consolas" w:hAnsi="Consolas"/>
                <w:b/>
                <w:i w:val="0"/>
                <w:color w:val="FFFFFF"/>
                <w:sz w:val="19"/>
              </w:rPr>
              <w:t>Accounts</w:t>
            </w:r>
          </w:p>
        </w:tc>
        <w:tc>
          <w:tcPr>
            <w:tcW w:type="dxa" w:w="2412"/>
            <w:shd w:val="clear" w:fill="17181B"/>
          </w:tcPr>
          <w:p>
            <w:r/>
            <w:r>
              <w:rPr>
                <w:rFonts w:ascii="Consolas" w:hAnsi="Consolas"/>
                <w:b/>
                <w:i w:val="0"/>
                <w:color w:val="FFFFFF"/>
                <w:sz w:val="19"/>
              </w:rPr>
              <w:t>Notes</w:t>
            </w:r>
          </w:p>
        </w:tc>
      </w:tr>
      <w:tr>
        <w:tc>
          <w:tcPr>
            <w:tcW w:type="dxa" w:w="2412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Activated</w:t>
            </w:r>
          </w:p>
        </w:tc>
        <w:tc>
          <w:tcPr>
            <w:tcW w:type="dxa" w:w="2412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Logged in 3+ times in week one</w:t>
            </w:r>
          </w:p>
        </w:tc>
        <w:tc>
          <w:tcPr>
            <w:tcW w:type="dxa" w:w="2412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61</w:t>
            </w:r>
          </w:p>
        </w:tc>
        <w:tc>
          <w:tcPr>
            <w:tcW w:type="dxa" w:w="2412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Reinforce with product tips</w:t>
            </w:r>
          </w:p>
        </w:tc>
      </w:tr>
      <w:tr>
        <w:tc>
          <w:tcPr>
            <w:tcW w:type="dxa" w:w="2412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Stalled</w:t>
            </w:r>
          </w:p>
        </w:tc>
        <w:tc>
          <w:tcPr>
            <w:tcW w:type="dxa" w:w="2412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Signed up, never configured a dashboard</w:t>
            </w:r>
          </w:p>
        </w:tc>
        <w:tc>
          <w:tcPr>
            <w:tcW w:type="dxa" w:w="2412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94</w:t>
            </w:r>
          </w:p>
        </w:tc>
        <w:tc>
          <w:tcPr>
            <w:tcW w:type="dxa" w:w="2412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Gets the day-3 in-app prompt</w:t>
            </w:r>
          </w:p>
        </w:tc>
      </w:tr>
      <w:tr>
        <w:tc>
          <w:tcPr>
            <w:tcW w:type="dxa" w:w="2412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Silent</w:t>
            </w:r>
          </w:p>
        </w:tc>
        <w:tc>
          <w:tcPr>
            <w:tcW w:type="dxa" w:w="2412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No login after day 7</w:t>
            </w:r>
          </w:p>
        </w:tc>
        <w:tc>
          <w:tcPr>
            <w:tcW w:type="dxa" w:w="2412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85</w:t>
            </w:r>
          </w:p>
        </w:tc>
        <w:tc>
          <w:tcPr>
            <w:tcW w:type="dxa" w:w="2412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Email open rate sat at 4%</w:t>
            </w:r>
          </w:p>
        </w:tc>
      </w:tr>
      <w:tr>
        <w:tc>
          <w:tcPr>
            <w:tcW w:type="dxa" w:w="2412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  <w:tc>
          <w:tcPr>
            <w:tcW w:type="dxa" w:w="2412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  <w:tc>
          <w:tcPr>
            <w:tcW w:type="dxa" w:w="2412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  <w:tc>
          <w:tcPr>
            <w:tcW w:type="dxa" w:w="2412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</w:tr>
      <w:tr>
        <w:tc>
          <w:tcPr>
            <w:tcW w:type="dxa" w:w="2412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  <w:tc>
          <w:tcPr>
            <w:tcW w:type="dxa" w:w="2412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  <w:tc>
          <w:tcPr>
            <w:tcW w:type="dxa" w:w="2412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  <w:tc>
          <w:tcPr>
            <w:tcW w:type="dxa" w:w="2412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</w:tr>
    </w:tbl>
    <w:p>
      <w:pPr>
        <w:spacing w:after="200"/>
      </w:pPr>
    </w:p>
    <w:p>
      <w:pPr>
        <w:spacing w:before="320" w:after="80"/>
      </w:pPr>
      <w:r>
        <w:rPr>
          <w:rFonts w:ascii="Georgia" w:hAnsi="Georgia"/>
          <w:b/>
          <w:color w:val="17181B"/>
          <w:sz w:val="30"/>
        </w:rPr>
        <w:t>3. Channels</w:t>
      </w:r>
    </w:p>
    <w:p>
      <w:pPr>
        <w:spacing w:after="80"/>
      </w:pPr>
      <w:r>
        <w:rPr>
          <w:rFonts w:ascii="Arial" w:hAnsi="Arial"/>
          <w:color w:val="17181B"/>
          <w:sz w:val="20"/>
        </w:rPr>
        <w:t>List every channel available and rank each one by where the segment already responds. Check open and click data before assuming email works.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  <w:shd w:val="clear" w:fill="17181B"/>
          </w:tcPr>
          <w:p>
            <w:r/>
            <w:r>
              <w:rPr>
                <w:rFonts w:ascii="Consolas" w:hAnsi="Consolas"/>
                <w:b/>
                <w:i w:val="0"/>
                <w:color w:val="FFFFFF"/>
                <w:sz w:val="19"/>
              </w:rPr>
              <w:t>Channel</w:t>
            </w:r>
          </w:p>
        </w:tc>
        <w:tc>
          <w:tcPr>
            <w:tcW w:type="dxa" w:w="3216"/>
            <w:shd w:val="clear" w:fill="17181B"/>
          </w:tcPr>
          <w:p>
            <w:r/>
            <w:r>
              <w:rPr>
                <w:rFonts w:ascii="Consolas" w:hAnsi="Consolas"/>
                <w:b/>
                <w:i w:val="0"/>
                <w:color w:val="FFFFFF"/>
                <w:sz w:val="19"/>
              </w:rPr>
              <w:t>Best for</w:t>
            </w:r>
          </w:p>
        </w:tc>
        <w:tc>
          <w:tcPr>
            <w:tcW w:type="dxa" w:w="3216"/>
            <w:shd w:val="clear" w:fill="17181B"/>
          </w:tcPr>
          <w:p>
            <w:r/>
            <w:r>
              <w:rPr>
                <w:rFonts w:ascii="Consolas" w:hAnsi="Consolas"/>
                <w:b/>
                <w:i w:val="0"/>
                <w:color w:val="FFFFFF"/>
                <w:sz w:val="19"/>
              </w:rPr>
              <w:t>Notes</w:t>
            </w:r>
          </w:p>
        </w:tc>
      </w:tr>
      <w:tr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In-app messaging</w:t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Activated, Stalled</w:t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Highest response from signed-in users</w:t>
            </w:r>
          </w:p>
        </w:tc>
      </w:tr>
      <w:tr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Email</w:t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Activated</w:t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A personal note from the CSM outperforms an automated send</w:t>
            </w:r>
          </w:p>
        </w:tc>
      </w:tr>
      <w:tr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Phone</w:t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Silent</w:t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Use once email open rate drops under 10%</w:t>
            </w:r>
          </w:p>
        </w:tc>
      </w:tr>
      <w:tr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</w:tr>
      <w:tr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</w:tr>
    </w:tbl>
    <w:p>
      <w:pPr>
        <w:spacing w:after="200"/>
      </w:pPr>
    </w:p>
    <w:p>
      <w:pPr>
        <w:spacing w:before="320" w:after="80"/>
      </w:pPr>
      <w:r>
        <w:rPr>
          <w:rFonts w:ascii="Georgia" w:hAnsi="Georgia"/>
          <w:b/>
          <w:color w:val="17181B"/>
          <w:sz w:val="30"/>
        </w:rPr>
        <w:t>4. Content &amp; Cadence</w:t>
      </w:r>
    </w:p>
    <w:p>
      <w:pPr>
        <w:spacing w:after="80"/>
      </w:pPr>
      <w:r>
        <w:rPr>
          <w:rFonts w:ascii="Arial" w:hAnsi="Arial"/>
          <w:color w:val="17181B"/>
          <w:sz w:val="20"/>
        </w:rPr>
        <w:t>Write what gets sent, how often, and the event trigger that starts it: signup, day 30, or renewal minus 60 days. Skip fixed calendar dates so the plan scales past one cohort.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  <w:shd w:val="clear" w:fill="17181B"/>
          </w:tcPr>
          <w:p>
            <w:r/>
            <w:r>
              <w:rPr>
                <w:rFonts w:ascii="Consolas" w:hAnsi="Consolas"/>
                <w:b/>
                <w:i w:val="0"/>
                <w:color w:val="FFFFFF"/>
                <w:sz w:val="19"/>
              </w:rPr>
              <w:t>Segment</w:t>
            </w:r>
          </w:p>
        </w:tc>
        <w:tc>
          <w:tcPr>
            <w:tcW w:type="dxa" w:w="3216"/>
            <w:shd w:val="clear" w:fill="17181B"/>
          </w:tcPr>
          <w:p>
            <w:r/>
            <w:r>
              <w:rPr>
                <w:rFonts w:ascii="Consolas" w:hAnsi="Consolas"/>
                <w:b/>
                <w:i w:val="0"/>
                <w:color w:val="FFFFFF"/>
                <w:sz w:val="19"/>
              </w:rPr>
              <w:t>Touchpoint</w:t>
            </w:r>
          </w:p>
        </w:tc>
        <w:tc>
          <w:tcPr>
            <w:tcW w:type="dxa" w:w="3216"/>
            <w:shd w:val="clear" w:fill="17181B"/>
          </w:tcPr>
          <w:p>
            <w:r/>
            <w:r>
              <w:rPr>
                <w:rFonts w:ascii="Consolas" w:hAnsi="Consolas"/>
                <w:b/>
                <w:i w:val="0"/>
                <w:color w:val="FFFFFF"/>
                <w:sz w:val="19"/>
              </w:rPr>
              <w:t>Trigger</w:t>
            </w:r>
          </w:p>
        </w:tc>
      </w:tr>
      <w:tr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Stalled</w:t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In-app walkthrough prompt</w:t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Day 3</w:t>
            </w:r>
          </w:p>
        </w:tc>
      </w:tr>
      <w:tr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Stalled</w:t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Personal email from the assigned CSM</w:t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Day 7</w:t>
            </w:r>
          </w:p>
        </w:tc>
      </w:tr>
      <w:tr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Silent</w:t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Phone call</w:t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Day 10</w:t>
            </w:r>
          </w:p>
        </w:tc>
      </w:tr>
      <w:tr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</w:tr>
      <w:tr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</w:tr>
    </w:tbl>
    <w:p>
      <w:pPr>
        <w:spacing w:after="200"/>
      </w:pPr>
    </w:p>
    <w:p>
      <w:pPr>
        <w:spacing w:before="320" w:after="80"/>
      </w:pPr>
      <w:r>
        <w:rPr>
          <w:rFonts w:ascii="Georgia" w:hAnsi="Georgia"/>
          <w:b/>
          <w:color w:val="17181B"/>
          <w:sz w:val="30"/>
        </w:rPr>
        <w:t>5. Owner</w:t>
      </w:r>
    </w:p>
    <w:p>
      <w:pPr>
        <w:spacing w:after="80"/>
      </w:pPr>
      <w:r>
        <w:rPr>
          <w:rFonts w:ascii="Arial" w:hAnsi="Arial"/>
          <w:color w:val="17181B"/>
          <w:sz w:val="20"/>
        </w:rPr>
        <w:t>Assign a named person to every row above. A touchpoint owned by a department is the first thing that stops happening when the quarter gets busy.</w:t>
      </w:r>
    </w:p>
    <w:p>
      <w:pPr>
        <w:spacing w:after="120"/>
      </w:pPr>
      <w:r>
        <w:rPr>
          <w:rFonts w:ascii="Arial" w:hAnsi="Arial"/>
          <w:i/>
          <w:color w:val="6B6A63"/>
          <w:sz w:val="20"/>
        </w:rPr>
        <w:t>Example: the customer success manager assigned at signup owns every touchpoint for their book of accounts; a shared inbox does not own anything.</w:t>
      </w:r>
    </w:p>
    <w:p>
      <w:pPr>
        <w:spacing w:after="200"/>
      </w:pPr>
      <w:r>
        <w:rPr>
          <w:rFonts w:ascii="Arial" w:hAnsi="Arial"/>
          <w:b/>
          <w:color w:val="17181B"/>
          <w:sz w:val="20"/>
        </w:rPr>
        <w:t xml:space="preserve">Owner: </w:t>
      </w:r>
      <w:r>
        <w:rPr>
          <w:rFonts w:ascii="Arial" w:hAnsi="Arial"/>
          <w:color w:val="17181B"/>
          <w:sz w:val="20"/>
        </w:rPr>
        <w:t>_______________________________________________________</w:t>
      </w:r>
    </w:p>
    <w:p>
      <w:pPr>
        <w:spacing w:before="320" w:after="80"/>
      </w:pPr>
      <w:r>
        <w:rPr>
          <w:rFonts w:ascii="Georgia" w:hAnsi="Georgia"/>
          <w:b/>
          <w:color w:val="17181B"/>
          <w:sz w:val="30"/>
        </w:rPr>
        <w:t>6. Metrics</w:t>
      </w:r>
    </w:p>
    <w:p>
      <w:pPr>
        <w:spacing w:after="80"/>
      </w:pPr>
      <w:r>
        <w:rPr>
          <w:rFonts w:ascii="Arial" w:hAnsi="Arial"/>
          <w:color w:val="17181B"/>
          <w:sz w:val="20"/>
        </w:rPr>
        <w:t>Pick two to four metrics tied to the objective. Pull the current number before you set a target: a target with no baseline is a guess wearing a percentage sign.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3216"/>
            <w:shd w:val="clear" w:fill="17181B"/>
          </w:tcPr>
          <w:p>
            <w:r/>
            <w:r>
              <w:rPr>
                <w:rFonts w:ascii="Consolas" w:hAnsi="Consolas"/>
                <w:b/>
                <w:i w:val="0"/>
                <w:color w:val="FFFFFF"/>
                <w:sz w:val="19"/>
              </w:rPr>
              <w:t>Metric</w:t>
            </w:r>
          </w:p>
        </w:tc>
        <w:tc>
          <w:tcPr>
            <w:tcW w:type="dxa" w:w="3216"/>
            <w:shd w:val="clear" w:fill="17181B"/>
          </w:tcPr>
          <w:p>
            <w:r/>
            <w:r>
              <w:rPr>
                <w:rFonts w:ascii="Consolas" w:hAnsi="Consolas"/>
                <w:b/>
                <w:i w:val="0"/>
                <w:color w:val="FFFFFF"/>
                <w:sz w:val="19"/>
              </w:rPr>
              <w:t>Baseline</w:t>
            </w:r>
          </w:p>
        </w:tc>
        <w:tc>
          <w:tcPr>
            <w:tcW w:type="dxa" w:w="3216"/>
            <w:shd w:val="clear" w:fill="17181B"/>
          </w:tcPr>
          <w:p>
            <w:r/>
            <w:r>
              <w:rPr>
                <w:rFonts w:ascii="Consolas" w:hAnsi="Consolas"/>
                <w:b/>
                <w:i w:val="0"/>
                <w:color w:val="FFFFFF"/>
                <w:sz w:val="19"/>
              </w:rPr>
              <w:t>Target</w:t>
            </w:r>
          </w:p>
        </w:tc>
      </w:tr>
      <w:tr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90-day retention</w:t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82%</w:t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88%</w:t>
            </w:r>
          </w:p>
        </w:tc>
      </w:tr>
      <w:tr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Activation rate within 7 days</w:t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41%</w:t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60%</w:t>
            </w:r>
          </w:p>
        </w:tc>
      </w:tr>
      <w:tr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Customer satisfaction score (day-30 check-in)</w:t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7.1 / 10</w:t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/>
                <w:color w:val="6B6A63"/>
                <w:sz w:val="20"/>
              </w:rPr>
              <w:t>n/a</w:t>
            </w:r>
          </w:p>
        </w:tc>
      </w:tr>
      <w:tr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</w:tr>
      <w:tr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  <w:tc>
          <w:tcPr>
            <w:tcW w:type="dxa" w:w="3216"/>
          </w:tcPr>
          <w:p>
            <w:r/>
            <w:r>
              <w:rPr>
                <w:rFonts w:ascii="Arial" w:hAnsi="Arial"/>
                <w:b w:val="0"/>
                <w:i w:val="0"/>
                <w:color w:val="17181B"/>
                <w:sz w:val="20"/>
              </w:rPr>
            </w:r>
          </w:p>
        </w:tc>
      </w:tr>
    </w:tbl>
    <w:p>
      <w:pPr>
        <w:spacing w:after="200"/>
      </w:pPr>
    </w:p>
    <w:p>
      <w:pPr>
        <w:spacing w:before="320" w:after="80"/>
      </w:pPr>
      <w:r>
        <w:rPr>
          <w:rFonts w:ascii="Georgia" w:hAnsi="Georgia"/>
          <w:b/>
          <w:color w:val="17181B"/>
          <w:sz w:val="30"/>
        </w:rPr>
        <w:t>7. Feedback Loop</w:t>
      </w:r>
    </w:p>
    <w:p>
      <w:pPr>
        <w:spacing w:after="80"/>
      </w:pPr>
      <w:r>
        <w:rPr>
          <w:rFonts w:ascii="Arial" w:hAnsi="Arial"/>
          <w:color w:val="17181B"/>
          <w:sz w:val="20"/>
        </w:rPr>
        <w:t>Decide now how customer feedback gets back into this document: a monthly review, a shared doc, or a recurring meeting with marketing, sales, and customer success.</w:t>
      </w:r>
    </w:p>
    <w:p>
      <w:pPr>
        <w:spacing w:after="120"/>
      </w:pPr>
      <w:r>
        <w:rPr>
          <w:rFonts w:ascii="Arial" w:hAnsi="Arial"/>
          <w:i/>
          <w:color w:val="6B6A63"/>
          <w:sz w:val="20"/>
        </w:rPr>
        <w:t>Example: by day 60, the stalled segment’s activation rate moved from 41% to 57%, mostly from the day-3 in-app prompt. The silent segment barely moved (five phone calls connected out of 85 attempts), so the customer success lead cut the day-10 call and replaced it with a text message linking to a two-minute setup video.</w:t>
      </w:r>
    </w:p>
    <w:p>
      <w:pPr>
        <w:spacing w:after="200"/>
      </w:pPr>
      <w:r>
        <w:rPr>
          <w:rFonts w:ascii="Arial" w:hAnsi="Arial"/>
          <w:b/>
          <w:color w:val="17181B"/>
          <w:sz w:val="20"/>
        </w:rPr>
        <w:t xml:space="preserve">Review cadence: </w:t>
      </w:r>
      <w:r>
        <w:rPr>
          <w:rFonts w:ascii="Arial" w:hAnsi="Arial"/>
          <w:color w:val="17181B"/>
          <w:sz w:val="20"/>
        </w:rPr>
        <w:t>_______________________________________________________</w:t>
      </w:r>
    </w:p>
    <w:p>
      <w:pPr>
        <w:spacing w:before="400"/>
      </w:pPr>
      <w:r>
        <w:rPr>
          <w:rFonts w:ascii="Arial" w:hAnsi="Arial"/>
          <w:i/>
          <w:color w:val="6B6A63"/>
          <w:sz w:val="17"/>
        </w:rPr>
        <w:t>Free to use, no email required. Built by Market Intelligence Tools, marketintelligencetools.com/templates/customer-engagement-strategy-template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