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Consolas" w:hAnsi="Consolas" w:cs="Consolas" w:eastAsia="Consolas"/>
          <w:b/>
          <w:color w:val="FFFFFF"/>
          <w:sz w:val="20"/>
          <w:shd w:val="clear" w:fill="17181B"/>
        </w:rPr>
        <w:t xml:space="preserve"> MI </w:t>
      </w:r>
      <w:r>
        <w:rPr>
          <w:rFonts w:ascii="Consolas" w:hAnsi="Consolas" w:cs="Consolas" w:eastAsia="Consolas"/>
          <w:b/>
          <w:color w:val="17181B"/>
          <w:sz w:val="20"/>
        </w:rPr>
        <w:t xml:space="preserve">  MARKET INTELLIGENCE TOOLS</w:t>
      </w:r>
      <w:r>
        <w:rPr>
          <w:rFonts w:ascii="Consolas" w:hAnsi="Consolas" w:cs="Consolas" w:eastAsia="Consolas"/>
          <w:color w:val="6B6A63"/>
          <w:sz w:val="18"/>
        </w:rPr>
        <w:t xml:space="preserve">   ·   marketintelligencetools.com/templates/equity-research-report/</w:t>
      </w:r>
    </w:p>
    <w:p>
      <w:pPr>
        <w:spacing w:after="80"/>
      </w:pPr>
      <w:r>
        <w:rPr>
          <w:rFonts w:ascii="Georgia" w:hAnsi="Georgia" w:cs="Georgia" w:eastAsia="Georgia"/>
          <w:b/>
          <w:color w:val="17181B"/>
          <w:sz w:val="48"/>
        </w:rPr>
        <w:t>Equity Research Report Template</w:t>
      </w:r>
    </w:p>
    <w:p>
      <w:pPr>
        <w:spacing w:after="120"/>
      </w:pPr>
      <w:r>
        <w:rPr>
          <w:rFonts w:ascii="Georgia" w:hAnsi="Georgia" w:cs="Georgia" w:eastAsia="Georgia"/>
          <w:i/>
          <w:color w:val="6B6A63"/>
          <w:sz w:val="20"/>
        </w:rPr>
        <w:t>Eight sections in reading order. Grey italic lines are instructions: read them, then delete them. Dark italic text is the worked example on Fieldline Software, a fictional company; its numbers come from the companion file equity-research-valuation-model.xlsx. Build the model first and write page one last.</w:t>
      </w:r>
    </w:p>
    <w:p>
      <w:pPr>
        <w:spacing w:after="160"/>
      </w:pPr>
      <w:r>
        <w:rPr>
          <w:rFonts w:ascii="Georgia" w:hAnsi="Georgia" w:cs="Georgia" w:eastAsia="Georgia"/>
          <w:i/>
          <w:color w:val="6B6A63"/>
          <w:sz w:val="19"/>
        </w:rPr>
        <w:t>Fictional example for illustration only. Not investment advice.</w:t>
      </w:r>
    </w:p>
    <w:p>
      <w:pPr>
        <w:keepNext/>
        <w:spacing w:after="80" w:before="280"/>
      </w:pPr>
      <w:r>
        <w:rPr>
          <w:rFonts w:ascii="Georgia" w:hAnsi="Georgia" w:cs="Georgia" w:eastAsia="Georgia"/>
          <w:b/>
          <w:color w:val="17181B"/>
          <w:sz w:val="30"/>
        </w:rPr>
        <w:t>1. Summary page</w:t>
      </w:r>
    </w:p>
    <w:p>
      <w:pPr>
        <w:spacing w:after="120"/>
      </w:pPr>
      <w:r>
        <w:rPr>
          <w:rFonts w:ascii="Georgia" w:hAnsi="Georgia" w:cs="Georgia" w:eastAsia="Georgia"/>
          <w:i/>
          <w:color w:val="6B6A63"/>
          <w:sz w:val="20"/>
        </w:rPr>
        <w:t>Page one carries the call. Fill the summary box from the model's Comps &amp; Target tab, then state the thesis in three bullets and print the key metrics. A portfolio manager decides from this page if the rest gets read.</w:t>
      </w:r>
    </w:p>
    <w:tbl>
      <w:tblPr>
        <w:tblStyle w:val="TableGrid"/>
        <w:tblW w:type="auto" w:w="0"/>
        <w:tblLook w:firstColumn="1" w:firstRow="1" w:lastColumn="0" w:lastRow="0" w:noHBand="0" w:noVBand="1" w:val="04A0"/>
      </w:tblPr>
      <w:tblGrid>
        <w:gridCol w:w="5040"/>
        <w:gridCol w:w="5040"/>
      </w:tblGrid>
      <w:tr>
        <w:tc>
          <w:tcPr>
            <w:tcW w:type="dxa" w:w="3456"/>
            <w:shd w:val="clear" w:color="auto" w:fill="17181B"/>
          </w:tcPr>
          <w:p>
            <w:r/>
            <w:r>
              <w:rPr>
                <w:rFonts w:ascii="Consolas" w:hAnsi="Consolas" w:cs="Consolas" w:eastAsia="Consolas"/>
                <w:b/>
                <w:color w:val="FFFFFF"/>
                <w:sz w:val="18"/>
              </w:rPr>
              <w:t>FIELD</w:t>
            </w:r>
          </w:p>
        </w:tc>
        <w:tc>
          <w:tcPr>
            <w:tcW w:type="dxa" w:w="6048"/>
            <w:shd w:val="clear" w:color="auto" w:fill="17181B"/>
          </w:tcPr>
          <w:p>
            <w:r/>
            <w:r>
              <w:rPr>
                <w:rFonts w:ascii="Consolas" w:hAnsi="Consolas" w:cs="Consolas" w:eastAsia="Consolas"/>
                <w:b/>
                <w:color w:val="FFFFFF"/>
                <w:sz w:val="18"/>
              </w:rPr>
              <w:t>VALUE</w:t>
            </w:r>
          </w:p>
        </w:tc>
      </w:tr>
      <w:tr>
        <w:tc>
          <w:tcPr>
            <w:tcW w:type="dxa" w:w="3456"/>
          </w:tcPr>
          <w:p>
            <w:r/>
            <w:r>
              <w:rPr>
                <w:rFonts w:ascii="Georgia" w:hAnsi="Georgia" w:cs="Georgia" w:eastAsia="Georgia"/>
                <w:b/>
                <w:i/>
                <w:color w:val="17181B"/>
                <w:sz w:val="20"/>
              </w:rPr>
              <w:t>Company</w:t>
            </w:r>
          </w:p>
        </w:tc>
        <w:tc>
          <w:tcPr>
            <w:tcW w:type="dxa" w:w="6048"/>
          </w:tcPr>
          <w:p>
            <w:r/>
            <w:r>
              <w:rPr>
                <w:rFonts w:ascii="Georgia" w:hAnsi="Georgia" w:cs="Georgia" w:eastAsia="Georgia"/>
                <w:b w:val="0"/>
                <w:i/>
                <w:color w:val="17181B"/>
                <w:sz w:val="20"/>
              </w:rPr>
              <w:t>Fieldline Software (fictional)</w:t>
            </w:r>
          </w:p>
        </w:tc>
      </w:tr>
      <w:tr>
        <w:tc>
          <w:tcPr>
            <w:tcW w:type="dxa" w:w="3456"/>
          </w:tcPr>
          <w:p>
            <w:r/>
            <w:r>
              <w:rPr>
                <w:rFonts w:ascii="Georgia" w:hAnsi="Georgia" w:cs="Georgia" w:eastAsia="Georgia"/>
                <w:b/>
                <w:i/>
                <w:color w:val="17181B"/>
                <w:sz w:val="20"/>
              </w:rPr>
              <w:t>Sector</w:t>
            </w:r>
          </w:p>
        </w:tc>
        <w:tc>
          <w:tcPr>
            <w:tcW w:type="dxa" w:w="6048"/>
          </w:tcPr>
          <w:p>
            <w:r/>
            <w:r>
              <w:rPr>
                <w:rFonts w:ascii="Georgia" w:hAnsi="Georgia" w:cs="Georgia" w:eastAsia="Georgia"/>
                <w:b w:val="0"/>
                <w:i/>
                <w:color w:val="17181B"/>
                <w:sz w:val="20"/>
              </w:rPr>
              <w:t>Field-service management software</w:t>
            </w:r>
          </w:p>
        </w:tc>
      </w:tr>
      <w:tr>
        <w:tc>
          <w:tcPr>
            <w:tcW w:type="dxa" w:w="3456"/>
          </w:tcPr>
          <w:p>
            <w:r/>
            <w:r>
              <w:rPr>
                <w:rFonts w:ascii="Georgia" w:hAnsi="Georgia" w:cs="Georgia" w:eastAsia="Georgia"/>
                <w:b/>
                <w:i/>
                <w:color w:val="17181B"/>
                <w:sz w:val="20"/>
              </w:rPr>
              <w:t>Rating</w:t>
            </w:r>
          </w:p>
        </w:tc>
        <w:tc>
          <w:tcPr>
            <w:tcW w:type="dxa" w:w="6048"/>
          </w:tcPr>
          <w:p>
            <w:r/>
            <w:r>
              <w:rPr>
                <w:rFonts w:ascii="Georgia" w:hAnsi="Georgia" w:cs="Georgia" w:eastAsia="Georgia"/>
                <w:b w:val="0"/>
                <w:i/>
                <w:color w:val="17181B"/>
                <w:sz w:val="20"/>
              </w:rPr>
              <w:t>Buy</w:t>
            </w:r>
          </w:p>
        </w:tc>
      </w:tr>
      <w:tr>
        <w:tc>
          <w:tcPr>
            <w:tcW w:type="dxa" w:w="3456"/>
          </w:tcPr>
          <w:p>
            <w:r/>
            <w:r>
              <w:rPr>
                <w:rFonts w:ascii="Georgia" w:hAnsi="Georgia" w:cs="Georgia" w:eastAsia="Georgia"/>
                <w:b/>
                <w:i/>
                <w:color w:val="17181B"/>
                <w:sz w:val="20"/>
              </w:rPr>
              <w:t>Target price (12 months)</w:t>
            </w:r>
          </w:p>
        </w:tc>
        <w:tc>
          <w:tcPr>
            <w:tcW w:type="dxa" w:w="6048"/>
          </w:tcPr>
          <w:p>
            <w:r/>
            <w:r>
              <w:rPr>
                <w:rFonts w:ascii="Georgia" w:hAnsi="Georgia" w:cs="Georgia" w:eastAsia="Georgia"/>
                <w:b w:val="0"/>
                <w:i/>
                <w:color w:val="17181B"/>
                <w:sz w:val="20"/>
              </w:rPr>
              <w:t>$46.00</w:t>
            </w:r>
          </w:p>
        </w:tc>
      </w:tr>
      <w:tr>
        <w:tc>
          <w:tcPr>
            <w:tcW w:type="dxa" w:w="3456"/>
          </w:tcPr>
          <w:p>
            <w:r/>
            <w:r>
              <w:rPr>
                <w:rFonts w:ascii="Georgia" w:hAnsi="Georgia" w:cs="Georgia" w:eastAsia="Georgia"/>
                <w:b/>
                <w:i/>
                <w:color w:val="17181B"/>
                <w:sz w:val="20"/>
              </w:rPr>
              <w:t>Share price</w:t>
            </w:r>
          </w:p>
        </w:tc>
        <w:tc>
          <w:tcPr>
            <w:tcW w:type="dxa" w:w="6048"/>
          </w:tcPr>
          <w:p>
            <w:r/>
            <w:r>
              <w:rPr>
                <w:rFonts w:ascii="Georgia" w:hAnsi="Georgia" w:cs="Georgia" w:eastAsia="Georgia"/>
                <w:b w:val="0"/>
                <w:i/>
                <w:color w:val="17181B"/>
                <w:sz w:val="20"/>
              </w:rPr>
              <w:t>$38.50</w:t>
            </w:r>
          </w:p>
        </w:tc>
      </w:tr>
      <w:tr>
        <w:tc>
          <w:tcPr>
            <w:tcW w:type="dxa" w:w="3456"/>
          </w:tcPr>
          <w:p>
            <w:r/>
            <w:r>
              <w:rPr>
                <w:rFonts w:ascii="Georgia" w:hAnsi="Georgia" w:cs="Georgia" w:eastAsia="Georgia"/>
                <w:b/>
                <w:i/>
                <w:color w:val="17181B"/>
                <w:sz w:val="20"/>
              </w:rPr>
              <w:t>Upside to target</w:t>
            </w:r>
          </w:p>
        </w:tc>
        <w:tc>
          <w:tcPr>
            <w:tcW w:type="dxa" w:w="6048"/>
          </w:tcPr>
          <w:p>
            <w:r/>
            <w:r>
              <w:rPr>
                <w:rFonts w:ascii="Georgia" w:hAnsi="Georgia" w:cs="Georgia" w:eastAsia="Georgia"/>
                <w:b w:val="0"/>
                <w:i/>
                <w:color w:val="17181B"/>
                <w:sz w:val="20"/>
              </w:rPr>
              <w:t>19.5%</w:t>
            </w:r>
          </w:p>
        </w:tc>
      </w:tr>
      <w:tr>
        <w:tc>
          <w:tcPr>
            <w:tcW w:type="dxa" w:w="3456"/>
          </w:tcPr>
          <w:p>
            <w:r/>
            <w:r>
              <w:rPr>
                <w:rFonts w:ascii="Georgia" w:hAnsi="Georgia" w:cs="Georgia" w:eastAsia="Georgia"/>
                <w:b/>
                <w:i/>
                <w:color w:val="17181B"/>
                <w:sz w:val="20"/>
              </w:rPr>
              <w:t>Market cap</w:t>
            </w:r>
          </w:p>
        </w:tc>
        <w:tc>
          <w:tcPr>
            <w:tcW w:type="dxa" w:w="6048"/>
          </w:tcPr>
          <w:p>
            <w:r/>
            <w:r>
              <w:rPr>
                <w:rFonts w:ascii="Georgia" w:hAnsi="Georgia" w:cs="Georgia" w:eastAsia="Georgia"/>
                <w:b w:val="0"/>
                <w:i/>
                <w:color w:val="17181B"/>
                <w:sz w:val="20"/>
              </w:rPr>
              <w:t>$3,272.5 million</w:t>
            </w:r>
          </w:p>
        </w:tc>
      </w:tr>
      <w:tr>
        <w:tc>
          <w:tcPr>
            <w:tcW w:type="dxa" w:w="3456"/>
          </w:tcPr>
          <w:p>
            <w:r/>
            <w:r>
              <w:rPr>
                <w:rFonts w:ascii="Georgia" w:hAnsi="Georgia" w:cs="Georgia" w:eastAsia="Georgia"/>
                <w:b/>
                <w:i/>
                <w:color w:val="17181B"/>
                <w:sz w:val="20"/>
              </w:rPr>
              <w:t>Enterprise value</w:t>
            </w:r>
          </w:p>
        </w:tc>
        <w:tc>
          <w:tcPr>
            <w:tcW w:type="dxa" w:w="6048"/>
          </w:tcPr>
          <w:p>
            <w:r/>
            <w:r>
              <w:rPr>
                <w:rFonts w:ascii="Georgia" w:hAnsi="Georgia" w:cs="Georgia" w:eastAsia="Georgia"/>
                <w:b w:val="0"/>
                <w:i/>
                <w:color w:val="17181B"/>
                <w:sz w:val="20"/>
              </w:rPr>
              <w:t>$3,012.5 million</w:t>
            </w:r>
          </w:p>
        </w:tc>
      </w:tr>
      <w:tr>
        <w:tc>
          <w:tcPr>
            <w:tcW w:type="dxa" w:w="3456"/>
          </w:tcPr>
          <w:p>
            <w:r/>
            <w:r>
              <w:rPr>
                <w:rFonts w:ascii="Georgia" w:hAnsi="Georgia" w:cs="Georgia" w:eastAsia="Georgia"/>
                <w:b/>
                <w:i/>
                <w:color w:val="17181B"/>
                <w:sz w:val="20"/>
              </w:rPr>
              <w:t>Net cash</w:t>
            </w:r>
          </w:p>
        </w:tc>
        <w:tc>
          <w:tcPr>
            <w:tcW w:type="dxa" w:w="6048"/>
          </w:tcPr>
          <w:p>
            <w:r/>
            <w:r>
              <w:rPr>
                <w:rFonts w:ascii="Georgia" w:hAnsi="Georgia" w:cs="Georgia" w:eastAsia="Georgia"/>
                <w:b w:val="0"/>
                <w:i/>
                <w:color w:val="17181B"/>
                <w:sz w:val="20"/>
              </w:rPr>
              <w:t>$260.0 million</w:t>
            </w:r>
          </w:p>
        </w:tc>
      </w:tr>
      <w:tr>
        <w:tc>
          <w:tcPr>
            <w:tcW w:type="dxa" w:w="3456"/>
          </w:tcPr>
          <w:p>
            <w:r/>
            <w:r>
              <w:rPr>
                <w:rFonts w:ascii="Georgia" w:hAnsi="Georgia" w:cs="Georgia" w:eastAsia="Georgia"/>
                <w:b/>
                <w:i/>
                <w:color w:val="17181B"/>
                <w:sz w:val="20"/>
              </w:rPr>
              <w:t>Diluted shares</w:t>
            </w:r>
          </w:p>
        </w:tc>
        <w:tc>
          <w:tcPr>
            <w:tcW w:type="dxa" w:w="6048"/>
          </w:tcPr>
          <w:p>
            <w:r/>
            <w:r>
              <w:rPr>
                <w:rFonts w:ascii="Georgia" w:hAnsi="Georgia" w:cs="Georgia" w:eastAsia="Georgia"/>
                <w:b w:val="0"/>
                <w:i/>
                <w:color w:val="17181B"/>
                <w:sz w:val="20"/>
              </w:rPr>
              <w:t>85.0 million</w:t>
            </w:r>
          </w:p>
        </w:tc>
      </w:tr>
      <w:tr>
        <w:tc>
          <w:tcPr>
            <w:tcW w:type="dxa" w:w="3456"/>
          </w:tcPr>
          <w:p>
            <w:r/>
            <w:r>
              <w:rPr>
                <w:rFonts w:ascii="Georgia" w:hAnsi="Georgia" w:cs="Georgia" w:eastAsia="Georgia"/>
                <w:b/>
                <w:i/>
                <w:color w:val="17181B"/>
                <w:sz w:val="20"/>
              </w:rPr>
              <w:t>EV / FY2027E revenue</w:t>
            </w:r>
          </w:p>
        </w:tc>
        <w:tc>
          <w:tcPr>
            <w:tcW w:type="dxa" w:w="6048"/>
          </w:tcPr>
          <w:p>
            <w:r/>
            <w:r>
              <w:rPr>
                <w:rFonts w:ascii="Georgia" w:hAnsi="Georgia" w:cs="Georgia" w:eastAsia="Georgia"/>
                <w:b w:val="0"/>
                <w:i/>
                <w:color w:val="17181B"/>
                <w:sz w:val="20"/>
              </w:rPr>
              <w:t>4.2x (peer median 5.6x)</w:t>
            </w:r>
          </w:p>
        </w:tc>
      </w:tr>
      <w:tr>
        <w:tc>
          <w:tcPr>
            <w:tcW w:type="dxa" w:w="3456"/>
          </w:tcPr>
          <w:p>
            <w:r/>
            <w:r>
              <w:rPr>
                <w:rFonts w:ascii="Georgia" w:hAnsi="Georgia" w:cs="Georgia" w:eastAsia="Georgia"/>
                <w:b/>
                <w:i/>
                <w:color w:val="17181B"/>
                <w:sz w:val="20"/>
              </w:rPr>
              <w:t>Analyst</w:t>
            </w:r>
          </w:p>
        </w:tc>
        <w:tc>
          <w:tcPr>
            <w:tcW w:type="dxa" w:w="6048"/>
          </w:tcPr>
          <w:p>
            <w:r/>
            <w:r>
              <w:rPr>
                <w:rFonts w:ascii="Georgia" w:hAnsi="Georgia" w:cs="Georgia" w:eastAsia="Georgia"/>
                <w:b w:val="0"/>
                <w:i/>
                <w:color w:val="17181B"/>
                <w:sz w:val="20"/>
              </w:rPr>
              <w:t>[Name, email, phone]</w:t>
            </w:r>
          </w:p>
        </w:tc>
      </w:tr>
    </w:tbl>
    <w:p>
      <w:pPr>
        <w:spacing w:after="40"/>
      </w:pPr>
    </w:p>
    <w:p>
      <w:pPr>
        <w:keepNext/>
        <w:spacing w:after="60" w:before="120"/>
      </w:pPr>
      <w:r>
        <w:rPr>
          <w:rFonts w:ascii="Georgia" w:hAnsi="Georgia" w:cs="Georgia" w:eastAsia="Georgia"/>
          <w:b/>
          <w:color w:val="17181B"/>
          <w:sz w:val="23"/>
        </w:rPr>
        <w:t>Investment summary</w:t>
      </w:r>
    </w:p>
    <w:p>
      <w:pPr>
        <w:pStyle w:val="ListBullet"/>
        <w:spacing w:after="40"/>
      </w:pPr>
      <w:r>
        <w:rPr>
          <w:rFonts w:ascii="Georgia" w:hAnsi="Georgia" w:cs="Georgia" w:eastAsia="Georgia"/>
          <w:i/>
          <w:color w:val="17181B"/>
          <w:sz w:val="21"/>
        </w:rPr>
        <w:t>Initiating coverage with a Buy rating and a $46.00 target price, 19.5% above the $38.50 share price.</w:t>
      </w:r>
    </w:p>
    <w:p>
      <w:pPr>
        <w:pStyle w:val="ListBullet"/>
        <w:spacing w:after="40"/>
      </w:pPr>
      <w:r>
        <w:rPr>
          <w:rFonts w:ascii="Georgia" w:hAnsi="Georgia" w:cs="Georgia" w:eastAsia="Georgia"/>
          <w:i/>
          <w:color w:val="17181B"/>
          <w:sz w:val="21"/>
        </w:rPr>
        <w:t>The market prices Fieldline at 4.2x next year's revenue against a 5.6x peer median, despite 18% forecast growth in FY2027.</w:t>
      </w:r>
    </w:p>
    <w:p>
      <w:pPr>
        <w:pStyle w:val="ListBullet"/>
        <w:spacing w:after="40"/>
      </w:pPr>
      <w:r>
        <w:rPr>
          <w:rFonts w:ascii="Georgia" w:hAnsi="Georgia" w:cs="Georgia" w:eastAsia="Georgia"/>
          <w:i/>
          <w:color w:val="17181B"/>
          <w:sz w:val="21"/>
        </w:rPr>
        <w:t>Investors read the 18% free cash flow margin as a ceiling; the model has it reaching 24% by FY2030 as contractor seat counts grow faster than hosting costs.</w:t>
      </w:r>
    </w:p>
    <w:p>
      <w:pPr>
        <w:keepNext/>
        <w:spacing w:after="60" w:before="120"/>
      </w:pPr>
      <w:r>
        <w:rPr>
          <w:rFonts w:ascii="Georgia" w:hAnsi="Georgia" w:cs="Georgia" w:eastAsia="Georgia"/>
          <w:b/>
          <w:color w:val="17181B"/>
          <w:sz w:val="23"/>
        </w:rPr>
        <w:t>Key metrics</w:t>
      </w:r>
    </w:p>
    <w:tbl>
      <w:tblPr>
        <w:tblStyle w:val="TableGrid"/>
        <w:tblW w:type="auto" w:w="0"/>
        <w:tblLook w:firstColumn="1" w:firstRow="1" w:lastColumn="0" w:lastRow="0" w:noHBand="0" w:noVBand="1" w:val="04A0"/>
      </w:tblPr>
      <w:tblGrid>
        <w:gridCol w:w="2520"/>
        <w:gridCol w:w="2520"/>
        <w:gridCol w:w="2520"/>
        <w:gridCol w:w="2520"/>
      </w:tblGrid>
      <w:tr>
        <w:tc>
          <w:tcPr>
            <w:tcW w:type="dxa" w:w="3456"/>
            <w:shd w:val="clear" w:color="auto" w:fill="17181B"/>
          </w:tcPr>
          <w:p>
            <w:r/>
            <w:r>
              <w:rPr>
                <w:rFonts w:ascii="Consolas" w:hAnsi="Consolas" w:cs="Consolas" w:eastAsia="Consolas"/>
                <w:b/>
                <w:color w:val="FFFFFF"/>
                <w:sz w:val="18"/>
              </w:rPr>
              <w:t>$ MILLION</w:t>
            </w:r>
          </w:p>
        </w:tc>
        <w:tc>
          <w:tcPr>
            <w:tcW w:type="dxa" w:w="2016"/>
            <w:shd w:val="clear" w:color="auto" w:fill="17181B"/>
          </w:tcPr>
          <w:p>
            <w:r/>
            <w:r>
              <w:rPr>
                <w:rFonts w:ascii="Consolas" w:hAnsi="Consolas" w:cs="Consolas" w:eastAsia="Consolas"/>
                <w:b/>
                <w:color w:val="FFFFFF"/>
                <w:sz w:val="18"/>
              </w:rPr>
              <w:t>FY2026E</w:t>
            </w:r>
          </w:p>
        </w:tc>
        <w:tc>
          <w:tcPr>
            <w:tcW w:type="dxa" w:w="2016"/>
            <w:shd w:val="clear" w:color="auto" w:fill="17181B"/>
          </w:tcPr>
          <w:p>
            <w:r/>
            <w:r>
              <w:rPr>
                <w:rFonts w:ascii="Consolas" w:hAnsi="Consolas" w:cs="Consolas" w:eastAsia="Consolas"/>
                <w:b/>
                <w:color w:val="FFFFFF"/>
                <w:sz w:val="18"/>
              </w:rPr>
              <w:t>FY2027E</w:t>
            </w:r>
          </w:p>
        </w:tc>
        <w:tc>
          <w:tcPr>
            <w:tcW w:type="dxa" w:w="2016"/>
            <w:shd w:val="clear" w:color="auto" w:fill="17181B"/>
          </w:tcPr>
          <w:p>
            <w:r/>
            <w:r>
              <w:rPr>
                <w:rFonts w:ascii="Consolas" w:hAnsi="Consolas" w:cs="Consolas" w:eastAsia="Consolas"/>
                <w:b/>
                <w:color w:val="FFFFFF"/>
                <w:sz w:val="18"/>
              </w:rPr>
              <w:t>FY2028E</w:t>
            </w:r>
          </w:p>
        </w:tc>
      </w:tr>
      <w:tr>
        <w:tc>
          <w:tcPr>
            <w:tcW w:type="dxa" w:w="3456"/>
          </w:tcPr>
          <w:p>
            <w:r/>
            <w:r>
              <w:rPr>
                <w:rFonts w:ascii="Georgia" w:hAnsi="Georgia" w:cs="Georgia" w:eastAsia="Georgia"/>
                <w:b/>
                <w:i/>
                <w:color w:val="17181B"/>
                <w:sz w:val="20"/>
              </w:rPr>
              <w:t>Revenue</w:t>
            </w:r>
          </w:p>
        </w:tc>
        <w:tc>
          <w:tcPr>
            <w:tcW w:type="dxa" w:w="2016"/>
          </w:tcPr>
          <w:p>
            <w:pPr>
              <w:jc w:val="right"/>
            </w:pPr>
            <w:r/>
            <w:r>
              <w:rPr>
                <w:rFonts w:ascii="Georgia" w:hAnsi="Georgia" w:cs="Georgia" w:eastAsia="Georgia"/>
                <w:b w:val="0"/>
                <w:i/>
                <w:color w:val="17181B"/>
                <w:sz w:val="20"/>
              </w:rPr>
              <w:t>614.4</w:t>
            </w:r>
          </w:p>
        </w:tc>
        <w:tc>
          <w:tcPr>
            <w:tcW w:type="dxa" w:w="2016"/>
          </w:tcPr>
          <w:p>
            <w:pPr>
              <w:jc w:val="right"/>
            </w:pPr>
            <w:r/>
            <w:r>
              <w:rPr>
                <w:rFonts w:ascii="Georgia" w:hAnsi="Georgia" w:cs="Georgia" w:eastAsia="Georgia"/>
                <w:b w:val="0"/>
                <w:i/>
                <w:color w:val="17181B"/>
                <w:sz w:val="20"/>
              </w:rPr>
              <w:t>725.0</w:t>
            </w:r>
          </w:p>
        </w:tc>
        <w:tc>
          <w:tcPr>
            <w:tcW w:type="dxa" w:w="2016"/>
          </w:tcPr>
          <w:p>
            <w:pPr>
              <w:jc w:val="right"/>
            </w:pPr>
            <w:r/>
            <w:r>
              <w:rPr>
                <w:rFonts w:ascii="Georgia" w:hAnsi="Georgia" w:cs="Georgia" w:eastAsia="Georgia"/>
                <w:b w:val="0"/>
                <w:i/>
                <w:color w:val="17181B"/>
                <w:sz w:val="20"/>
              </w:rPr>
              <w:t>841.0</w:t>
            </w:r>
          </w:p>
        </w:tc>
      </w:tr>
      <w:tr>
        <w:tc>
          <w:tcPr>
            <w:tcW w:type="dxa" w:w="3456"/>
          </w:tcPr>
          <w:p>
            <w:r/>
            <w:r>
              <w:rPr>
                <w:rFonts w:ascii="Georgia" w:hAnsi="Georgia" w:cs="Georgia" w:eastAsia="Georgia"/>
                <w:b/>
                <w:i/>
                <w:color w:val="17181B"/>
                <w:sz w:val="20"/>
              </w:rPr>
              <w:t>Revenue growth</w:t>
            </w:r>
          </w:p>
        </w:tc>
        <w:tc>
          <w:tcPr>
            <w:tcW w:type="dxa" w:w="2016"/>
          </w:tcPr>
          <w:p>
            <w:pPr>
              <w:jc w:val="right"/>
            </w:pPr>
            <w:r/>
            <w:r>
              <w:rPr>
                <w:rFonts w:ascii="Georgia" w:hAnsi="Georgia" w:cs="Georgia" w:eastAsia="Georgia"/>
                <w:b w:val="0"/>
                <w:i/>
                <w:color w:val="17181B"/>
                <w:sz w:val="20"/>
              </w:rPr>
              <w:t>20%</w:t>
            </w:r>
          </w:p>
        </w:tc>
        <w:tc>
          <w:tcPr>
            <w:tcW w:type="dxa" w:w="2016"/>
          </w:tcPr>
          <w:p>
            <w:pPr>
              <w:jc w:val="right"/>
            </w:pPr>
            <w:r/>
            <w:r>
              <w:rPr>
                <w:rFonts w:ascii="Georgia" w:hAnsi="Georgia" w:cs="Georgia" w:eastAsia="Georgia"/>
                <w:b w:val="0"/>
                <w:i/>
                <w:color w:val="17181B"/>
                <w:sz w:val="20"/>
              </w:rPr>
              <w:t>18%</w:t>
            </w:r>
          </w:p>
        </w:tc>
        <w:tc>
          <w:tcPr>
            <w:tcW w:type="dxa" w:w="2016"/>
          </w:tcPr>
          <w:p>
            <w:pPr>
              <w:jc w:val="right"/>
            </w:pPr>
            <w:r/>
            <w:r>
              <w:rPr>
                <w:rFonts w:ascii="Georgia" w:hAnsi="Georgia" w:cs="Georgia" w:eastAsia="Georgia"/>
                <w:b w:val="0"/>
                <w:i/>
                <w:color w:val="17181B"/>
                <w:sz w:val="20"/>
              </w:rPr>
              <w:t>16%</w:t>
            </w:r>
          </w:p>
        </w:tc>
      </w:tr>
      <w:tr>
        <w:tc>
          <w:tcPr>
            <w:tcW w:type="dxa" w:w="3456"/>
          </w:tcPr>
          <w:p>
            <w:r/>
            <w:r>
              <w:rPr>
                <w:rFonts w:ascii="Georgia" w:hAnsi="Georgia" w:cs="Georgia" w:eastAsia="Georgia"/>
                <w:b/>
                <w:i/>
                <w:color w:val="17181B"/>
                <w:sz w:val="20"/>
              </w:rPr>
              <w:t>Free cash flow</w:t>
            </w:r>
          </w:p>
        </w:tc>
        <w:tc>
          <w:tcPr>
            <w:tcW w:type="dxa" w:w="2016"/>
          </w:tcPr>
          <w:p>
            <w:pPr>
              <w:jc w:val="right"/>
            </w:pPr>
            <w:r/>
            <w:r>
              <w:rPr>
                <w:rFonts w:ascii="Georgia" w:hAnsi="Georgia" w:cs="Georgia" w:eastAsia="Georgia"/>
                <w:b w:val="0"/>
                <w:i/>
                <w:color w:val="17181B"/>
                <w:sz w:val="20"/>
              </w:rPr>
              <w:t>110.6</w:t>
            </w:r>
          </w:p>
        </w:tc>
        <w:tc>
          <w:tcPr>
            <w:tcW w:type="dxa" w:w="2016"/>
          </w:tcPr>
          <w:p>
            <w:pPr>
              <w:jc w:val="right"/>
            </w:pPr>
            <w:r/>
            <w:r>
              <w:rPr>
                <w:rFonts w:ascii="Georgia" w:hAnsi="Georgia" w:cs="Georgia" w:eastAsia="Georgia"/>
                <w:b w:val="0"/>
                <w:i/>
                <w:color w:val="17181B"/>
                <w:sz w:val="20"/>
              </w:rPr>
              <w:t>145.0</w:t>
            </w:r>
          </w:p>
        </w:tc>
        <w:tc>
          <w:tcPr>
            <w:tcW w:type="dxa" w:w="2016"/>
          </w:tcPr>
          <w:p>
            <w:pPr>
              <w:jc w:val="right"/>
            </w:pPr>
            <w:r/>
            <w:r>
              <w:rPr>
                <w:rFonts w:ascii="Georgia" w:hAnsi="Georgia" w:cs="Georgia" w:eastAsia="Georgia"/>
                <w:b w:val="0"/>
                <w:i/>
                <w:color w:val="17181B"/>
                <w:sz w:val="20"/>
              </w:rPr>
              <w:t>185.0</w:t>
            </w:r>
          </w:p>
        </w:tc>
      </w:tr>
      <w:tr>
        <w:tc>
          <w:tcPr>
            <w:tcW w:type="dxa" w:w="3456"/>
          </w:tcPr>
          <w:p>
            <w:r/>
            <w:r>
              <w:rPr>
                <w:rFonts w:ascii="Georgia" w:hAnsi="Georgia" w:cs="Georgia" w:eastAsia="Georgia"/>
                <w:b/>
                <w:i/>
                <w:color w:val="17181B"/>
                <w:sz w:val="20"/>
              </w:rPr>
              <w:t>Free cash flow margin</w:t>
            </w:r>
          </w:p>
        </w:tc>
        <w:tc>
          <w:tcPr>
            <w:tcW w:type="dxa" w:w="2016"/>
          </w:tcPr>
          <w:p>
            <w:pPr>
              <w:jc w:val="right"/>
            </w:pPr>
            <w:r/>
            <w:r>
              <w:rPr>
                <w:rFonts w:ascii="Georgia" w:hAnsi="Georgia" w:cs="Georgia" w:eastAsia="Georgia"/>
                <w:b w:val="0"/>
                <w:i/>
                <w:color w:val="17181B"/>
                <w:sz w:val="20"/>
              </w:rPr>
              <w:t>18%</w:t>
            </w:r>
          </w:p>
        </w:tc>
        <w:tc>
          <w:tcPr>
            <w:tcW w:type="dxa" w:w="2016"/>
          </w:tcPr>
          <w:p>
            <w:pPr>
              <w:jc w:val="right"/>
            </w:pPr>
            <w:r/>
            <w:r>
              <w:rPr>
                <w:rFonts w:ascii="Georgia" w:hAnsi="Georgia" w:cs="Georgia" w:eastAsia="Georgia"/>
                <w:b w:val="0"/>
                <w:i/>
                <w:color w:val="17181B"/>
                <w:sz w:val="20"/>
              </w:rPr>
              <w:t>20%</w:t>
            </w:r>
          </w:p>
        </w:tc>
        <w:tc>
          <w:tcPr>
            <w:tcW w:type="dxa" w:w="2016"/>
          </w:tcPr>
          <w:p>
            <w:pPr>
              <w:jc w:val="right"/>
            </w:pPr>
            <w:r/>
            <w:r>
              <w:rPr>
                <w:rFonts w:ascii="Georgia" w:hAnsi="Georgia" w:cs="Georgia" w:eastAsia="Georgia"/>
                <w:b w:val="0"/>
                <w:i/>
                <w:color w:val="17181B"/>
                <w:sz w:val="20"/>
              </w:rPr>
              <w:t>22%</w:t>
            </w:r>
          </w:p>
        </w:tc>
      </w:tr>
      <w:tr>
        <w:tc>
          <w:tcPr>
            <w:tcW w:type="dxa" w:w="3456"/>
          </w:tcPr>
          <w:p>
            <w:r/>
            <w:r>
              <w:rPr>
                <w:rFonts w:ascii="Georgia" w:hAnsi="Georgia" w:cs="Georgia" w:eastAsia="Georgia"/>
                <w:b/>
                <w:i/>
                <w:color w:val="17181B"/>
                <w:sz w:val="20"/>
              </w:rPr>
              <w:t>Net income</w:t>
            </w:r>
          </w:p>
        </w:tc>
        <w:tc>
          <w:tcPr>
            <w:tcW w:type="dxa" w:w="2016"/>
          </w:tcPr>
          <w:p>
            <w:pPr>
              <w:jc w:val="right"/>
            </w:pPr>
            <w:r/>
            <w:r>
              <w:rPr>
                <w:rFonts w:ascii="Georgia" w:hAnsi="Georgia" w:cs="Georgia" w:eastAsia="Georgia"/>
                <w:b w:val="0"/>
                <w:i/>
                <w:color w:val="17181B"/>
                <w:sz w:val="20"/>
              </w:rPr>
              <w:t>73.7</w:t>
            </w:r>
          </w:p>
        </w:tc>
        <w:tc>
          <w:tcPr>
            <w:tcW w:type="dxa" w:w="2016"/>
          </w:tcPr>
          <w:p>
            <w:pPr>
              <w:jc w:val="right"/>
            </w:pPr>
            <w:r/>
            <w:r>
              <w:rPr>
                <w:rFonts w:ascii="Georgia" w:hAnsi="Georgia" w:cs="Georgia" w:eastAsia="Georgia"/>
                <w:b w:val="0"/>
                <w:i/>
                <w:color w:val="17181B"/>
                <w:sz w:val="20"/>
              </w:rPr>
              <w:t>87.0</w:t>
            </w:r>
          </w:p>
        </w:tc>
        <w:tc>
          <w:tcPr>
            <w:tcW w:type="dxa" w:w="2016"/>
          </w:tcPr>
          <w:p>
            <w:pPr>
              <w:jc w:val="right"/>
            </w:pPr>
            <w:r/>
            <w:r>
              <w:rPr>
                <w:rFonts w:ascii="Georgia" w:hAnsi="Georgia" w:cs="Georgia" w:eastAsia="Georgia"/>
                <w:b w:val="0"/>
                <w:i/>
                <w:color w:val="17181B"/>
                <w:sz w:val="20"/>
              </w:rPr>
              <w:t>100.9</w:t>
            </w:r>
          </w:p>
        </w:tc>
      </w:tr>
      <w:tr>
        <w:tc>
          <w:tcPr>
            <w:tcW w:type="dxa" w:w="3456"/>
          </w:tcPr>
          <w:p>
            <w:r/>
            <w:r>
              <w:rPr>
                <w:rFonts w:ascii="Georgia" w:hAnsi="Georgia" w:cs="Georgia" w:eastAsia="Georgia"/>
                <w:b/>
                <w:i/>
                <w:color w:val="17181B"/>
                <w:sz w:val="20"/>
              </w:rPr>
              <w:t>EPS ($)</w:t>
            </w:r>
          </w:p>
        </w:tc>
        <w:tc>
          <w:tcPr>
            <w:tcW w:type="dxa" w:w="2016"/>
          </w:tcPr>
          <w:p>
            <w:pPr>
              <w:jc w:val="right"/>
            </w:pPr>
            <w:r/>
            <w:r>
              <w:rPr>
                <w:rFonts w:ascii="Georgia" w:hAnsi="Georgia" w:cs="Georgia" w:eastAsia="Georgia"/>
                <w:b w:val="0"/>
                <w:i/>
                <w:color w:val="17181B"/>
                <w:sz w:val="20"/>
              </w:rPr>
              <w:t>0.87</w:t>
            </w:r>
          </w:p>
        </w:tc>
        <w:tc>
          <w:tcPr>
            <w:tcW w:type="dxa" w:w="2016"/>
          </w:tcPr>
          <w:p>
            <w:pPr>
              <w:jc w:val="right"/>
            </w:pPr>
            <w:r/>
            <w:r>
              <w:rPr>
                <w:rFonts w:ascii="Georgia" w:hAnsi="Georgia" w:cs="Georgia" w:eastAsia="Georgia"/>
                <w:b w:val="0"/>
                <w:i/>
                <w:color w:val="17181B"/>
                <w:sz w:val="20"/>
              </w:rPr>
              <w:t>1.02</w:t>
            </w:r>
          </w:p>
        </w:tc>
        <w:tc>
          <w:tcPr>
            <w:tcW w:type="dxa" w:w="2016"/>
          </w:tcPr>
          <w:p>
            <w:pPr>
              <w:jc w:val="right"/>
            </w:pPr>
            <w:r/>
            <w:r>
              <w:rPr>
                <w:rFonts w:ascii="Georgia" w:hAnsi="Georgia" w:cs="Georgia" w:eastAsia="Georgia"/>
                <w:b w:val="0"/>
                <w:i/>
                <w:color w:val="17181B"/>
                <w:sz w:val="20"/>
              </w:rPr>
              <w:t>1.19</w:t>
            </w:r>
          </w:p>
        </w:tc>
      </w:tr>
    </w:tbl>
    <w:p>
      <w:pPr>
        <w:spacing w:after="40"/>
      </w:pPr>
    </w:p>
    <w:p>
      <w:pPr>
        <w:keepNext/>
        <w:spacing w:after="80" w:before="280"/>
      </w:pPr>
      <w:r>
        <w:rPr>
          <w:rFonts w:ascii="Georgia" w:hAnsi="Georgia" w:cs="Georgia" w:eastAsia="Georgia"/>
          <w:b/>
          <w:color w:val="17181B"/>
          <w:sz w:val="30"/>
        </w:rPr>
        <w:t>2. Investment thesis and catalysts</w:t>
      </w:r>
    </w:p>
    <w:p>
      <w:pPr>
        <w:spacing w:after="120"/>
      </w:pPr>
      <w:r>
        <w:rPr>
          <w:rFonts w:ascii="Georgia" w:hAnsi="Georgia" w:cs="Georgia" w:eastAsia="Georgia"/>
          <w:i/>
          <w:color w:val="6B6A63"/>
          <w:sz w:val="20"/>
        </w:rPr>
        <w:t>Answer one question in one sentence: what is the market not discounting in the share price? Then list two or three dated catalysts, the events expected to move the price toward the target.</w:t>
      </w:r>
    </w:p>
    <w:p>
      <w:pPr>
        <w:spacing w:after="100"/>
      </w:pPr>
      <w:r>
        <w:rPr>
          <w:rFonts w:ascii="Georgia" w:hAnsi="Georgia" w:cs="Georgia" w:eastAsia="Georgia"/>
          <w:b/>
          <w:i/>
          <w:color w:val="17181B"/>
          <w:sz w:val="21"/>
        </w:rPr>
        <w:t xml:space="preserve">Thesis: </w:t>
      </w:r>
      <w:r>
        <w:rPr>
          <w:rFonts w:ascii="Georgia" w:hAnsi="Georgia" w:cs="Georgia" w:eastAsia="Georgia"/>
          <w:i/>
          <w:color w:val="17181B"/>
          <w:sz w:val="21"/>
        </w:rPr>
        <w:t>The market treats Fieldline's 18% free cash flow margin as mature. Contractor seat counts are growing faster than hosting costs, so the model has the margin rising two points a year to 24% by FY2030. At the peer median multiple the shares would be worth $50.82; the DCF gives $41.58.</w:t>
      </w:r>
    </w:p>
    <w:tbl>
      <w:tblPr>
        <w:tblStyle w:val="TableGrid"/>
        <w:tblW w:type="auto" w:w="0"/>
        <w:tblLook w:firstColumn="1" w:firstRow="1" w:lastColumn="0" w:lastRow="0" w:noHBand="0" w:noVBand="1" w:val="04A0"/>
      </w:tblPr>
      <w:tblGrid>
        <w:gridCol w:w="3360"/>
        <w:gridCol w:w="3360"/>
        <w:gridCol w:w="3360"/>
      </w:tblGrid>
      <w:tr>
        <w:tc>
          <w:tcPr>
            <w:tcW w:type="dxa" w:w="2592"/>
            <w:shd w:val="clear" w:color="auto" w:fill="17181B"/>
          </w:tcPr>
          <w:p>
            <w:r/>
            <w:r>
              <w:rPr>
                <w:rFonts w:ascii="Consolas" w:hAnsi="Consolas" w:cs="Consolas" w:eastAsia="Consolas"/>
                <w:b/>
                <w:color w:val="FFFFFF"/>
                <w:sz w:val="18"/>
              </w:rPr>
              <w:t>CATALYST</w:t>
            </w:r>
          </w:p>
        </w:tc>
        <w:tc>
          <w:tcPr>
            <w:tcW w:type="dxa" w:w="2304"/>
            <w:shd w:val="clear" w:color="auto" w:fill="17181B"/>
          </w:tcPr>
          <w:p>
            <w:r/>
            <w:r>
              <w:rPr>
                <w:rFonts w:ascii="Consolas" w:hAnsi="Consolas" w:cs="Consolas" w:eastAsia="Consolas"/>
                <w:b/>
                <w:color w:val="FFFFFF"/>
                <w:sz w:val="18"/>
              </w:rPr>
              <w:t>EXPECTED DATE</w:t>
            </w:r>
          </w:p>
        </w:tc>
        <w:tc>
          <w:tcPr>
            <w:tcW w:type="dxa" w:w="4608"/>
            <w:shd w:val="clear" w:color="auto" w:fill="17181B"/>
          </w:tcPr>
          <w:p>
            <w:r/>
            <w:r>
              <w:rPr>
                <w:rFonts w:ascii="Consolas" w:hAnsi="Consolas" w:cs="Consolas" w:eastAsia="Consolas"/>
                <w:b/>
                <w:color w:val="FFFFFF"/>
                <w:sz w:val="18"/>
              </w:rPr>
              <w:t>WHY IT MATTERS</w:t>
            </w:r>
          </w:p>
        </w:tc>
      </w:tr>
      <w:tr>
        <w:tc>
          <w:tcPr>
            <w:tcW w:type="dxa" w:w="2592"/>
          </w:tcPr>
          <w:p>
            <w:r/>
            <w:r>
              <w:rPr>
                <w:rFonts w:ascii="Georgia" w:hAnsi="Georgia" w:cs="Georgia" w:eastAsia="Georgia"/>
                <w:b/>
                <w:i/>
                <w:color w:val="17181B"/>
                <w:sz w:val="20"/>
              </w:rPr>
              <w:t>Q3 FY2026 earnings</w:t>
            </w:r>
          </w:p>
        </w:tc>
        <w:tc>
          <w:tcPr>
            <w:tcW w:type="dxa" w:w="2304"/>
          </w:tcPr>
          <w:p>
            <w:pPr>
              <w:jc w:val="right"/>
            </w:pPr>
            <w:r/>
            <w:r>
              <w:rPr>
                <w:rFonts w:ascii="Georgia" w:hAnsi="Georgia" w:cs="Georgia" w:eastAsia="Georgia"/>
                <w:b w:val="0"/>
                <w:i/>
                <w:color w:val="17181B"/>
                <w:sz w:val="20"/>
              </w:rPr>
              <w:t>November 2026</w:t>
            </w:r>
          </w:p>
        </w:tc>
        <w:tc>
          <w:tcPr>
            <w:tcW w:type="dxa" w:w="4608"/>
          </w:tcPr>
          <w:p>
            <w:pPr>
              <w:jc w:val="right"/>
            </w:pPr>
            <w:r/>
            <w:r>
              <w:rPr>
                <w:rFonts w:ascii="Georgia" w:hAnsi="Georgia" w:cs="Georgia" w:eastAsia="Georgia"/>
                <w:b w:val="0"/>
                <w:i/>
                <w:color w:val="17181B"/>
                <w:sz w:val="20"/>
              </w:rPr>
              <w:t>First quarter with the new payments module in the numbers</w:t>
            </w:r>
          </w:p>
        </w:tc>
      </w:tr>
      <w:tr>
        <w:tc>
          <w:tcPr>
            <w:tcW w:type="dxa" w:w="2592"/>
          </w:tcPr>
          <w:p>
            <w:r/>
            <w:r>
              <w:rPr>
                <w:rFonts w:ascii="Georgia" w:hAnsi="Georgia" w:cs="Georgia" w:eastAsia="Georgia"/>
                <w:b/>
                <w:i/>
                <w:color w:val="17181B"/>
                <w:sz w:val="20"/>
              </w:rPr>
              <w:t>Investor day</w:t>
            </w:r>
          </w:p>
        </w:tc>
        <w:tc>
          <w:tcPr>
            <w:tcW w:type="dxa" w:w="2304"/>
          </w:tcPr>
          <w:p>
            <w:pPr>
              <w:jc w:val="right"/>
            </w:pPr>
            <w:r/>
            <w:r>
              <w:rPr>
                <w:rFonts w:ascii="Georgia" w:hAnsi="Georgia" w:cs="Georgia" w:eastAsia="Georgia"/>
                <w:b w:val="0"/>
                <w:i/>
                <w:color w:val="17181B"/>
                <w:sz w:val="20"/>
              </w:rPr>
              <w:t>[Date when announced]</w:t>
            </w:r>
          </w:p>
        </w:tc>
        <w:tc>
          <w:tcPr>
            <w:tcW w:type="dxa" w:w="4608"/>
          </w:tcPr>
          <w:p>
            <w:pPr>
              <w:jc w:val="right"/>
            </w:pPr>
            <w:r/>
            <w:r>
              <w:rPr>
                <w:rFonts w:ascii="Georgia" w:hAnsi="Georgia" w:cs="Georgia" w:eastAsia="Georgia"/>
                <w:b w:val="0"/>
                <w:i/>
                <w:color w:val="17181B"/>
                <w:sz w:val="20"/>
              </w:rPr>
              <w:t>Management sets a FY2028 margin target</w:t>
            </w:r>
          </w:p>
        </w:tc>
      </w:tr>
    </w:tbl>
    <w:p>
      <w:pPr>
        <w:spacing w:after="40"/>
      </w:pPr>
    </w:p>
    <w:p>
      <w:pPr>
        <w:keepNext/>
        <w:spacing w:after="80" w:before="280"/>
      </w:pPr>
      <w:r>
        <w:rPr>
          <w:rFonts w:ascii="Georgia" w:hAnsi="Georgia" w:cs="Georgia" w:eastAsia="Georgia"/>
          <w:b/>
          <w:color w:val="17181B"/>
          <w:sz w:val="30"/>
        </w:rPr>
        <w:t>3. Company overview</w:t>
      </w:r>
    </w:p>
    <w:p>
      <w:pPr>
        <w:spacing w:after="120"/>
      </w:pPr>
      <w:r>
        <w:rPr>
          <w:rFonts w:ascii="Georgia" w:hAnsi="Georgia" w:cs="Georgia" w:eastAsia="Georgia"/>
          <w:i/>
          <w:color w:val="6B6A63"/>
          <w:sz w:val="20"/>
        </w:rPr>
        <w:t>How the company earns revenue: business model, segments, customers, pricing, and the management team's record. Source it from the latest 10-K or annual report before any third-party summary.</w:t>
      </w:r>
    </w:p>
    <w:p>
      <w:pPr>
        <w:spacing w:after="100"/>
      </w:pPr>
      <w:r>
        <w:rPr>
          <w:rFonts w:ascii="Georgia" w:hAnsi="Georgia" w:cs="Georgia" w:eastAsia="Georgia"/>
          <w:b/>
          <w:i/>
          <w:color w:val="17181B"/>
          <w:sz w:val="21"/>
        </w:rPr>
        <w:t xml:space="preserve">Business model: </w:t>
      </w:r>
      <w:r>
        <w:rPr>
          <w:rFonts w:ascii="Georgia" w:hAnsi="Georgia" w:cs="Georgia" w:eastAsia="Georgia"/>
          <w:i/>
          <w:color w:val="17181B"/>
          <w:sz w:val="21"/>
        </w:rPr>
        <w:t>Fieldline sells scheduling and dispatch software, plus payment services, to field-service contractors (HVAC, plumbing, electrical) on annual subscriptions.</w:t>
      </w:r>
    </w:p>
    <w:p>
      <w:pPr>
        <w:spacing w:after="100"/>
      </w:pPr>
      <w:r>
        <w:rPr>
          <w:rFonts w:ascii="Georgia" w:hAnsi="Georgia" w:cs="Georgia" w:eastAsia="Georgia"/>
          <w:b/>
          <w:i/>
          <w:color w:val="17181B"/>
          <w:sz w:val="21"/>
        </w:rPr>
        <w:t xml:space="preserve">Scale and balance sheet: </w:t>
      </w:r>
      <w:r>
        <w:rPr>
          <w:rFonts w:ascii="Georgia" w:hAnsi="Georgia" w:cs="Georgia" w:eastAsia="Georgia"/>
          <w:i/>
          <w:color w:val="17181B"/>
          <w:sz w:val="21"/>
        </w:rPr>
        <w:t>FY2025 revenue of $512 million. $410 million of cash against $150 million of debt, for $260.0 million of net cash. 85.0 million diluted shares.</w:t>
      </w:r>
    </w:p>
    <w:p>
      <w:pPr>
        <w:spacing w:after="100"/>
      </w:pPr>
      <w:r>
        <w:rPr>
          <w:rFonts w:ascii="Georgia" w:hAnsi="Georgia" w:cs="Georgia" w:eastAsia="Georgia"/>
          <w:b/>
          <w:i/>
          <w:color w:val="17181B"/>
          <w:sz w:val="21"/>
        </w:rPr>
        <w:t xml:space="preserve">Management team: </w:t>
      </w:r>
      <w:r>
        <w:rPr>
          <w:rFonts w:ascii="Georgia" w:hAnsi="Georgia" w:cs="Georgia" w:eastAsia="Georgia"/>
          <w:i/>
          <w:color w:val="17181B"/>
          <w:sz w:val="21"/>
        </w:rPr>
        <w:t>[CEO and CFO: tenure, prior roles, record on guidance.]</w:t>
      </w:r>
    </w:p>
    <w:p>
      <w:pPr>
        <w:keepNext/>
        <w:spacing w:after="80" w:before="280"/>
      </w:pPr>
      <w:r>
        <w:rPr>
          <w:rFonts w:ascii="Georgia" w:hAnsi="Georgia" w:cs="Georgia" w:eastAsia="Georgia"/>
          <w:b/>
          <w:color w:val="17181B"/>
          <w:sz w:val="30"/>
        </w:rPr>
        <w:t>4. Industry analysis</w:t>
      </w:r>
    </w:p>
    <w:p>
      <w:pPr>
        <w:spacing w:after="120"/>
      </w:pPr>
      <w:r>
        <w:rPr>
          <w:rFonts w:ascii="Georgia" w:hAnsi="Georgia" w:cs="Georgia" w:eastAsia="Georgia"/>
          <w:i/>
          <w:color w:val="6B6A63"/>
          <w:sz w:val="20"/>
        </w:rPr>
        <w:t>Size the market, name the industry trends that move demand, and place the company against its peers on share, pricing and growth. Finish on market position: who the company takes share from, and who could take it back. Note any pending regulatory changes; they usually reappear as a row in the risk table.</w:t>
      </w:r>
    </w:p>
    <w:tbl>
      <w:tblPr>
        <w:tblStyle w:val="TableGrid"/>
        <w:tblW w:type="auto" w:w="0"/>
        <w:tblLook w:firstColumn="1" w:firstRow="1" w:lastColumn="0" w:lastRow="0" w:noHBand="0" w:noVBand="1" w:val="04A0"/>
      </w:tblPr>
      <w:tblGrid>
        <w:gridCol w:w="5040"/>
        <w:gridCol w:w="5040"/>
      </w:tblGrid>
      <w:tr>
        <w:tc>
          <w:tcPr>
            <w:tcW w:type="dxa" w:w="2880"/>
            <w:shd w:val="clear" w:color="auto" w:fill="17181B"/>
          </w:tcPr>
          <w:p>
            <w:r/>
            <w:r>
              <w:rPr>
                <w:rFonts w:ascii="Consolas" w:hAnsi="Consolas" w:cs="Consolas" w:eastAsia="Consolas"/>
                <w:b/>
                <w:color w:val="FFFFFF"/>
                <w:sz w:val="18"/>
              </w:rPr>
              <w:t>ITEM</w:t>
            </w:r>
          </w:p>
        </w:tc>
        <w:tc>
          <w:tcPr>
            <w:tcW w:type="dxa" w:w="6624"/>
            <w:shd w:val="clear" w:color="auto" w:fill="17181B"/>
          </w:tcPr>
          <w:p>
            <w:r/>
            <w:r>
              <w:rPr>
                <w:rFonts w:ascii="Consolas" w:hAnsi="Consolas" w:cs="Consolas" w:eastAsia="Consolas"/>
                <w:b/>
                <w:color w:val="FFFFFF"/>
                <w:sz w:val="18"/>
              </w:rPr>
              <w:t>FINDING</w:t>
            </w:r>
          </w:p>
        </w:tc>
      </w:tr>
      <w:tr>
        <w:tc>
          <w:tcPr>
            <w:tcW w:type="dxa" w:w="2880"/>
          </w:tcPr>
          <w:p>
            <w:r/>
            <w:r>
              <w:rPr>
                <w:rFonts w:ascii="Georgia" w:hAnsi="Georgia" w:cs="Georgia" w:eastAsia="Georgia"/>
                <w:b/>
                <w:i/>
                <w:color w:val="17181B"/>
                <w:sz w:val="20"/>
              </w:rPr>
              <w:t>Market size (TAM)</w:t>
            </w:r>
          </w:p>
        </w:tc>
        <w:tc>
          <w:tcPr>
            <w:tcW w:type="dxa" w:w="6624"/>
          </w:tcPr>
          <w:p>
            <w:r/>
            <w:r>
              <w:rPr>
                <w:rFonts w:ascii="Georgia" w:hAnsi="Georgia" w:cs="Georgia" w:eastAsia="Georgia"/>
                <w:b w:val="0"/>
                <w:i/>
                <w:color w:val="17181B"/>
                <w:sz w:val="20"/>
              </w:rPr>
              <w:t>[Bottom-up estimate: number of target contractors x annual contract value]</w:t>
            </w:r>
          </w:p>
        </w:tc>
      </w:tr>
      <w:tr>
        <w:tc>
          <w:tcPr>
            <w:tcW w:type="dxa" w:w="2880"/>
          </w:tcPr>
          <w:p>
            <w:r/>
            <w:r>
              <w:rPr>
                <w:rFonts w:ascii="Georgia" w:hAnsi="Georgia" w:cs="Georgia" w:eastAsia="Georgia"/>
                <w:b/>
                <w:i/>
                <w:color w:val="17181B"/>
                <w:sz w:val="20"/>
              </w:rPr>
              <w:t>Industry trends</w:t>
            </w:r>
          </w:p>
        </w:tc>
        <w:tc>
          <w:tcPr>
            <w:tcW w:type="dxa" w:w="6624"/>
          </w:tcPr>
          <w:p>
            <w:r/>
            <w:r>
              <w:rPr>
                <w:rFonts w:ascii="Georgia" w:hAnsi="Georgia" w:cs="Georgia" w:eastAsia="Georgia"/>
                <w:b w:val="0"/>
                <w:i/>
                <w:color w:val="17181B"/>
                <w:sz w:val="20"/>
              </w:rPr>
              <w:t>[Two or three trends that move demand, each with a source]</w:t>
            </w:r>
          </w:p>
        </w:tc>
      </w:tr>
      <w:tr>
        <w:tc>
          <w:tcPr>
            <w:tcW w:type="dxa" w:w="2880"/>
          </w:tcPr>
          <w:p>
            <w:r/>
            <w:r>
              <w:rPr>
                <w:rFonts w:ascii="Georgia" w:hAnsi="Georgia" w:cs="Georgia" w:eastAsia="Georgia"/>
                <w:b/>
                <w:i/>
                <w:color w:val="17181B"/>
                <w:sz w:val="20"/>
              </w:rPr>
              <w:t>Competitive dynamics</w:t>
            </w:r>
          </w:p>
        </w:tc>
        <w:tc>
          <w:tcPr>
            <w:tcW w:type="dxa" w:w="6624"/>
          </w:tcPr>
          <w:p>
            <w:r/>
            <w:r>
              <w:rPr>
                <w:rFonts w:ascii="Georgia" w:hAnsi="Georgia" w:cs="Georgia" w:eastAsia="Georgia"/>
                <w:b w:val="0"/>
                <w:i/>
                <w:color w:val="17181B"/>
                <w:sz w:val="20"/>
              </w:rPr>
              <w:t>Horizontal field-service suites can bundle dispatch at lower prices</w:t>
            </w:r>
          </w:p>
        </w:tc>
      </w:tr>
      <w:tr>
        <w:tc>
          <w:tcPr>
            <w:tcW w:type="dxa" w:w="2880"/>
          </w:tcPr>
          <w:p>
            <w:r/>
            <w:r>
              <w:rPr>
                <w:rFonts w:ascii="Georgia" w:hAnsi="Georgia" w:cs="Georgia" w:eastAsia="Georgia"/>
                <w:b/>
                <w:i/>
                <w:color w:val="17181B"/>
                <w:sz w:val="20"/>
              </w:rPr>
              <w:t>Market position</w:t>
            </w:r>
          </w:p>
        </w:tc>
        <w:tc>
          <w:tcPr>
            <w:tcW w:type="dxa" w:w="6624"/>
          </w:tcPr>
          <w:p>
            <w:r/>
            <w:r>
              <w:rPr>
                <w:rFonts w:ascii="Georgia" w:hAnsi="Georgia" w:cs="Georgia" w:eastAsia="Georgia"/>
                <w:b w:val="0"/>
                <w:i/>
                <w:color w:val="17181B"/>
                <w:sz w:val="20"/>
              </w:rPr>
              <w:t>[Who Fieldline takes share from, and who could take it back]</w:t>
            </w:r>
          </w:p>
        </w:tc>
      </w:tr>
      <w:tr>
        <w:tc>
          <w:tcPr>
            <w:tcW w:type="dxa" w:w="2880"/>
          </w:tcPr>
          <w:p>
            <w:r/>
            <w:r>
              <w:rPr>
                <w:rFonts w:ascii="Georgia" w:hAnsi="Georgia" w:cs="Georgia" w:eastAsia="Georgia"/>
                <w:b/>
                <w:i/>
                <w:color w:val="17181B"/>
                <w:sz w:val="20"/>
              </w:rPr>
              <w:t>Regulatory changes</w:t>
            </w:r>
          </w:p>
        </w:tc>
        <w:tc>
          <w:tcPr>
            <w:tcW w:type="dxa" w:w="6624"/>
          </w:tcPr>
          <w:p>
            <w:r/>
            <w:r>
              <w:rPr>
                <w:rFonts w:ascii="Georgia" w:hAnsi="Georgia" w:cs="Georgia" w:eastAsia="Georgia"/>
                <w:b w:val="0"/>
                <w:i/>
                <w:color w:val="17181B"/>
                <w:sz w:val="20"/>
              </w:rPr>
              <w:t>Payment-processing rules could delay the payments module</w:t>
            </w:r>
          </w:p>
        </w:tc>
      </w:tr>
    </w:tbl>
    <w:p>
      <w:pPr>
        <w:spacing w:after="40"/>
      </w:pPr>
    </w:p>
    <w:p>
      <w:pPr>
        <w:keepNext/>
        <w:spacing w:after="80" w:before="280"/>
      </w:pPr>
      <w:r>
        <w:rPr>
          <w:rFonts w:ascii="Georgia" w:hAnsi="Georgia" w:cs="Georgia" w:eastAsia="Georgia"/>
          <w:b/>
          <w:color w:val="17181B"/>
          <w:sz w:val="30"/>
        </w:rPr>
        <w:t>5. Financial analysis</w:t>
      </w:r>
    </w:p>
    <w:p>
      <w:pPr>
        <w:spacing w:after="120"/>
      </w:pPr>
      <w:r>
        <w:rPr>
          <w:rFonts w:ascii="Georgia" w:hAnsi="Georgia" w:cs="Georgia" w:eastAsia="Georgia"/>
          <w:i/>
          <w:color w:val="6B6A63"/>
          <w:sz w:val="20"/>
        </w:rPr>
        <w:t>Review three to five years of reported income statement, balance sheet and cash flow figures, then carry the forecast forward. Paste values from the model's DCF tab once the numbers are final; never retype them.</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2736"/>
            <w:shd w:val="clear" w:color="auto" w:fill="17181B"/>
          </w:tcPr>
          <w:p>
            <w:r/>
            <w:r>
              <w:rPr>
                <w:rFonts w:ascii="Consolas" w:hAnsi="Consolas" w:cs="Consolas" w:eastAsia="Consolas"/>
                <w:b/>
                <w:color w:val="FFFFFF"/>
                <w:sz w:val="18"/>
              </w:rPr>
              <w:t>$ MILLION</w:t>
            </w:r>
          </w:p>
        </w:tc>
        <w:tc>
          <w:tcPr>
            <w:tcW w:type="dxa" w:w="1368"/>
            <w:shd w:val="clear" w:color="auto" w:fill="17181B"/>
          </w:tcPr>
          <w:p>
            <w:r/>
            <w:r>
              <w:rPr>
                <w:rFonts w:ascii="Consolas" w:hAnsi="Consolas" w:cs="Consolas" w:eastAsia="Consolas"/>
                <w:b/>
                <w:color w:val="FFFFFF"/>
                <w:sz w:val="18"/>
              </w:rPr>
              <w:t>FY2026E</w:t>
            </w:r>
          </w:p>
        </w:tc>
        <w:tc>
          <w:tcPr>
            <w:tcW w:type="dxa" w:w="1368"/>
            <w:shd w:val="clear" w:color="auto" w:fill="17181B"/>
          </w:tcPr>
          <w:p>
            <w:r/>
            <w:r>
              <w:rPr>
                <w:rFonts w:ascii="Consolas" w:hAnsi="Consolas" w:cs="Consolas" w:eastAsia="Consolas"/>
                <w:b/>
                <w:color w:val="FFFFFF"/>
                <w:sz w:val="18"/>
              </w:rPr>
              <w:t>FY2027E</w:t>
            </w:r>
          </w:p>
        </w:tc>
        <w:tc>
          <w:tcPr>
            <w:tcW w:type="dxa" w:w="1368"/>
            <w:shd w:val="clear" w:color="auto" w:fill="17181B"/>
          </w:tcPr>
          <w:p>
            <w:r/>
            <w:r>
              <w:rPr>
                <w:rFonts w:ascii="Consolas" w:hAnsi="Consolas" w:cs="Consolas" w:eastAsia="Consolas"/>
                <w:b/>
                <w:color w:val="FFFFFF"/>
                <w:sz w:val="18"/>
              </w:rPr>
              <w:t>FY2028E</w:t>
            </w:r>
          </w:p>
        </w:tc>
        <w:tc>
          <w:tcPr>
            <w:tcW w:type="dxa" w:w="1368"/>
            <w:shd w:val="clear" w:color="auto" w:fill="17181B"/>
          </w:tcPr>
          <w:p>
            <w:r/>
            <w:r>
              <w:rPr>
                <w:rFonts w:ascii="Consolas" w:hAnsi="Consolas" w:cs="Consolas" w:eastAsia="Consolas"/>
                <w:b/>
                <w:color w:val="FFFFFF"/>
                <w:sz w:val="18"/>
              </w:rPr>
              <w:t>FY2029E</w:t>
            </w:r>
          </w:p>
        </w:tc>
        <w:tc>
          <w:tcPr>
            <w:tcW w:type="dxa" w:w="1368"/>
            <w:shd w:val="clear" w:color="auto" w:fill="17181B"/>
          </w:tcPr>
          <w:p>
            <w:r/>
            <w:r>
              <w:rPr>
                <w:rFonts w:ascii="Consolas" w:hAnsi="Consolas" w:cs="Consolas" w:eastAsia="Consolas"/>
                <w:b/>
                <w:color w:val="FFFFFF"/>
                <w:sz w:val="18"/>
              </w:rPr>
              <w:t>FY2030E</w:t>
            </w:r>
          </w:p>
        </w:tc>
      </w:tr>
      <w:tr>
        <w:tc>
          <w:tcPr>
            <w:tcW w:type="dxa" w:w="2736"/>
          </w:tcPr>
          <w:p>
            <w:r/>
            <w:r>
              <w:rPr>
                <w:rFonts w:ascii="Georgia" w:hAnsi="Georgia" w:cs="Georgia" w:eastAsia="Georgia"/>
                <w:b/>
                <w:i/>
                <w:color w:val="17181B"/>
                <w:sz w:val="20"/>
              </w:rPr>
              <w:t>Revenue growth</w:t>
            </w:r>
          </w:p>
        </w:tc>
        <w:tc>
          <w:tcPr>
            <w:tcW w:type="dxa" w:w="1368"/>
          </w:tcPr>
          <w:p>
            <w:pPr>
              <w:jc w:val="right"/>
            </w:pPr>
            <w:r/>
            <w:r>
              <w:rPr>
                <w:rFonts w:ascii="Georgia" w:hAnsi="Georgia" w:cs="Georgia" w:eastAsia="Georgia"/>
                <w:b w:val="0"/>
                <w:i/>
                <w:color w:val="17181B"/>
                <w:sz w:val="20"/>
              </w:rPr>
              <w:t>20%</w:t>
            </w:r>
          </w:p>
        </w:tc>
        <w:tc>
          <w:tcPr>
            <w:tcW w:type="dxa" w:w="1368"/>
          </w:tcPr>
          <w:p>
            <w:pPr>
              <w:jc w:val="right"/>
            </w:pPr>
            <w:r/>
            <w:r>
              <w:rPr>
                <w:rFonts w:ascii="Georgia" w:hAnsi="Georgia" w:cs="Georgia" w:eastAsia="Georgia"/>
                <w:b w:val="0"/>
                <w:i/>
                <w:color w:val="17181B"/>
                <w:sz w:val="20"/>
              </w:rPr>
              <w:t>18%</w:t>
            </w:r>
          </w:p>
        </w:tc>
        <w:tc>
          <w:tcPr>
            <w:tcW w:type="dxa" w:w="1368"/>
          </w:tcPr>
          <w:p>
            <w:pPr>
              <w:jc w:val="right"/>
            </w:pPr>
            <w:r/>
            <w:r>
              <w:rPr>
                <w:rFonts w:ascii="Georgia" w:hAnsi="Georgia" w:cs="Georgia" w:eastAsia="Georgia"/>
                <w:b w:val="0"/>
                <w:i/>
                <w:color w:val="17181B"/>
                <w:sz w:val="20"/>
              </w:rPr>
              <w:t>16%</w:t>
            </w:r>
          </w:p>
        </w:tc>
        <w:tc>
          <w:tcPr>
            <w:tcW w:type="dxa" w:w="1368"/>
          </w:tcPr>
          <w:p>
            <w:pPr>
              <w:jc w:val="right"/>
            </w:pPr>
            <w:r/>
            <w:r>
              <w:rPr>
                <w:rFonts w:ascii="Georgia" w:hAnsi="Georgia" w:cs="Georgia" w:eastAsia="Georgia"/>
                <w:b w:val="0"/>
                <w:i/>
                <w:color w:val="17181B"/>
                <w:sz w:val="20"/>
              </w:rPr>
              <w:t>14%</w:t>
            </w:r>
          </w:p>
        </w:tc>
        <w:tc>
          <w:tcPr>
            <w:tcW w:type="dxa" w:w="1368"/>
          </w:tcPr>
          <w:p>
            <w:pPr>
              <w:jc w:val="right"/>
            </w:pPr>
            <w:r/>
            <w:r>
              <w:rPr>
                <w:rFonts w:ascii="Georgia" w:hAnsi="Georgia" w:cs="Georgia" w:eastAsia="Georgia"/>
                <w:b w:val="0"/>
                <w:i/>
                <w:color w:val="17181B"/>
                <w:sz w:val="20"/>
              </w:rPr>
              <w:t>12%</w:t>
            </w:r>
          </w:p>
        </w:tc>
      </w:tr>
      <w:tr>
        <w:tc>
          <w:tcPr>
            <w:tcW w:type="dxa" w:w="2736"/>
          </w:tcPr>
          <w:p>
            <w:r/>
            <w:r>
              <w:rPr>
                <w:rFonts w:ascii="Georgia" w:hAnsi="Georgia" w:cs="Georgia" w:eastAsia="Georgia"/>
                <w:b/>
                <w:i/>
                <w:color w:val="17181B"/>
                <w:sz w:val="20"/>
              </w:rPr>
              <w:t>Revenue</w:t>
            </w:r>
          </w:p>
        </w:tc>
        <w:tc>
          <w:tcPr>
            <w:tcW w:type="dxa" w:w="1368"/>
          </w:tcPr>
          <w:p>
            <w:pPr>
              <w:jc w:val="right"/>
            </w:pPr>
            <w:r/>
            <w:r>
              <w:rPr>
                <w:rFonts w:ascii="Georgia" w:hAnsi="Georgia" w:cs="Georgia" w:eastAsia="Georgia"/>
                <w:b w:val="0"/>
                <w:i/>
                <w:color w:val="17181B"/>
                <w:sz w:val="20"/>
              </w:rPr>
              <w:t>614.4</w:t>
            </w:r>
          </w:p>
        </w:tc>
        <w:tc>
          <w:tcPr>
            <w:tcW w:type="dxa" w:w="1368"/>
          </w:tcPr>
          <w:p>
            <w:pPr>
              <w:jc w:val="right"/>
            </w:pPr>
            <w:r/>
            <w:r>
              <w:rPr>
                <w:rFonts w:ascii="Georgia" w:hAnsi="Georgia" w:cs="Georgia" w:eastAsia="Georgia"/>
                <w:b w:val="0"/>
                <w:i/>
                <w:color w:val="17181B"/>
                <w:sz w:val="20"/>
              </w:rPr>
              <w:t>725.0</w:t>
            </w:r>
          </w:p>
        </w:tc>
        <w:tc>
          <w:tcPr>
            <w:tcW w:type="dxa" w:w="1368"/>
          </w:tcPr>
          <w:p>
            <w:pPr>
              <w:jc w:val="right"/>
            </w:pPr>
            <w:r/>
            <w:r>
              <w:rPr>
                <w:rFonts w:ascii="Georgia" w:hAnsi="Georgia" w:cs="Georgia" w:eastAsia="Georgia"/>
                <w:b w:val="0"/>
                <w:i/>
                <w:color w:val="17181B"/>
                <w:sz w:val="20"/>
              </w:rPr>
              <w:t>841.0</w:t>
            </w:r>
          </w:p>
        </w:tc>
        <w:tc>
          <w:tcPr>
            <w:tcW w:type="dxa" w:w="1368"/>
          </w:tcPr>
          <w:p>
            <w:pPr>
              <w:jc w:val="right"/>
            </w:pPr>
            <w:r/>
            <w:r>
              <w:rPr>
                <w:rFonts w:ascii="Georgia" w:hAnsi="Georgia" w:cs="Georgia" w:eastAsia="Georgia"/>
                <w:b w:val="0"/>
                <w:i/>
                <w:color w:val="17181B"/>
                <w:sz w:val="20"/>
              </w:rPr>
              <w:t>958.7</w:t>
            </w:r>
          </w:p>
        </w:tc>
        <w:tc>
          <w:tcPr>
            <w:tcW w:type="dxa" w:w="1368"/>
          </w:tcPr>
          <w:p>
            <w:pPr>
              <w:jc w:val="right"/>
            </w:pPr>
            <w:r/>
            <w:r>
              <w:rPr>
                <w:rFonts w:ascii="Georgia" w:hAnsi="Georgia" w:cs="Georgia" w:eastAsia="Georgia"/>
                <w:b w:val="0"/>
                <w:i/>
                <w:color w:val="17181B"/>
                <w:sz w:val="20"/>
              </w:rPr>
              <w:t>1,073.8</w:t>
            </w:r>
          </w:p>
        </w:tc>
      </w:tr>
      <w:tr>
        <w:tc>
          <w:tcPr>
            <w:tcW w:type="dxa" w:w="2736"/>
          </w:tcPr>
          <w:p>
            <w:r/>
            <w:r>
              <w:rPr>
                <w:rFonts w:ascii="Georgia" w:hAnsi="Georgia" w:cs="Georgia" w:eastAsia="Georgia"/>
                <w:b/>
                <w:i/>
                <w:color w:val="17181B"/>
                <w:sz w:val="20"/>
              </w:rPr>
              <w:t>FCF margin</w:t>
            </w:r>
          </w:p>
        </w:tc>
        <w:tc>
          <w:tcPr>
            <w:tcW w:type="dxa" w:w="1368"/>
          </w:tcPr>
          <w:p>
            <w:pPr>
              <w:jc w:val="right"/>
            </w:pPr>
            <w:r/>
            <w:r>
              <w:rPr>
                <w:rFonts w:ascii="Georgia" w:hAnsi="Georgia" w:cs="Georgia" w:eastAsia="Georgia"/>
                <w:b w:val="0"/>
                <w:i/>
                <w:color w:val="17181B"/>
                <w:sz w:val="20"/>
              </w:rPr>
              <w:t>18%</w:t>
            </w:r>
          </w:p>
        </w:tc>
        <w:tc>
          <w:tcPr>
            <w:tcW w:type="dxa" w:w="1368"/>
          </w:tcPr>
          <w:p>
            <w:pPr>
              <w:jc w:val="right"/>
            </w:pPr>
            <w:r/>
            <w:r>
              <w:rPr>
                <w:rFonts w:ascii="Georgia" w:hAnsi="Georgia" w:cs="Georgia" w:eastAsia="Georgia"/>
                <w:b w:val="0"/>
                <w:i/>
                <w:color w:val="17181B"/>
                <w:sz w:val="20"/>
              </w:rPr>
              <w:t>20%</w:t>
            </w:r>
          </w:p>
        </w:tc>
        <w:tc>
          <w:tcPr>
            <w:tcW w:type="dxa" w:w="1368"/>
          </w:tcPr>
          <w:p>
            <w:pPr>
              <w:jc w:val="right"/>
            </w:pPr>
            <w:r/>
            <w:r>
              <w:rPr>
                <w:rFonts w:ascii="Georgia" w:hAnsi="Georgia" w:cs="Georgia" w:eastAsia="Georgia"/>
                <w:b w:val="0"/>
                <w:i/>
                <w:color w:val="17181B"/>
                <w:sz w:val="20"/>
              </w:rPr>
              <w:t>22%</w:t>
            </w:r>
          </w:p>
        </w:tc>
        <w:tc>
          <w:tcPr>
            <w:tcW w:type="dxa" w:w="1368"/>
          </w:tcPr>
          <w:p>
            <w:pPr>
              <w:jc w:val="right"/>
            </w:pPr>
            <w:r/>
            <w:r>
              <w:rPr>
                <w:rFonts w:ascii="Georgia" w:hAnsi="Georgia" w:cs="Georgia" w:eastAsia="Georgia"/>
                <w:b w:val="0"/>
                <w:i/>
                <w:color w:val="17181B"/>
                <w:sz w:val="20"/>
              </w:rPr>
              <w:t>23%</w:t>
            </w:r>
          </w:p>
        </w:tc>
        <w:tc>
          <w:tcPr>
            <w:tcW w:type="dxa" w:w="1368"/>
          </w:tcPr>
          <w:p>
            <w:pPr>
              <w:jc w:val="right"/>
            </w:pPr>
            <w:r/>
            <w:r>
              <w:rPr>
                <w:rFonts w:ascii="Georgia" w:hAnsi="Georgia" w:cs="Georgia" w:eastAsia="Georgia"/>
                <w:b w:val="0"/>
                <w:i/>
                <w:color w:val="17181B"/>
                <w:sz w:val="20"/>
              </w:rPr>
              <w:t>24%</w:t>
            </w:r>
          </w:p>
        </w:tc>
      </w:tr>
      <w:tr>
        <w:tc>
          <w:tcPr>
            <w:tcW w:type="dxa" w:w="2736"/>
          </w:tcPr>
          <w:p>
            <w:r/>
            <w:r>
              <w:rPr>
                <w:rFonts w:ascii="Georgia" w:hAnsi="Georgia" w:cs="Georgia" w:eastAsia="Georgia"/>
                <w:b/>
                <w:i/>
                <w:color w:val="17181B"/>
                <w:sz w:val="20"/>
              </w:rPr>
              <w:t>Free cash flow</w:t>
            </w:r>
          </w:p>
        </w:tc>
        <w:tc>
          <w:tcPr>
            <w:tcW w:type="dxa" w:w="1368"/>
          </w:tcPr>
          <w:p>
            <w:pPr>
              <w:jc w:val="right"/>
            </w:pPr>
            <w:r/>
            <w:r>
              <w:rPr>
                <w:rFonts w:ascii="Georgia" w:hAnsi="Georgia" w:cs="Georgia" w:eastAsia="Georgia"/>
                <w:b w:val="0"/>
                <w:i/>
                <w:color w:val="17181B"/>
                <w:sz w:val="20"/>
              </w:rPr>
              <w:t>110.6</w:t>
            </w:r>
          </w:p>
        </w:tc>
        <w:tc>
          <w:tcPr>
            <w:tcW w:type="dxa" w:w="1368"/>
          </w:tcPr>
          <w:p>
            <w:pPr>
              <w:jc w:val="right"/>
            </w:pPr>
            <w:r/>
            <w:r>
              <w:rPr>
                <w:rFonts w:ascii="Georgia" w:hAnsi="Georgia" w:cs="Georgia" w:eastAsia="Georgia"/>
                <w:b w:val="0"/>
                <w:i/>
                <w:color w:val="17181B"/>
                <w:sz w:val="20"/>
              </w:rPr>
              <w:t>145.0</w:t>
            </w:r>
          </w:p>
        </w:tc>
        <w:tc>
          <w:tcPr>
            <w:tcW w:type="dxa" w:w="1368"/>
          </w:tcPr>
          <w:p>
            <w:pPr>
              <w:jc w:val="right"/>
            </w:pPr>
            <w:r/>
            <w:r>
              <w:rPr>
                <w:rFonts w:ascii="Georgia" w:hAnsi="Georgia" w:cs="Georgia" w:eastAsia="Georgia"/>
                <w:b w:val="0"/>
                <w:i/>
                <w:color w:val="17181B"/>
                <w:sz w:val="20"/>
              </w:rPr>
              <w:t>185.0</w:t>
            </w:r>
          </w:p>
        </w:tc>
        <w:tc>
          <w:tcPr>
            <w:tcW w:type="dxa" w:w="1368"/>
          </w:tcPr>
          <w:p>
            <w:pPr>
              <w:jc w:val="right"/>
            </w:pPr>
            <w:r/>
            <w:r>
              <w:rPr>
                <w:rFonts w:ascii="Georgia" w:hAnsi="Georgia" w:cs="Georgia" w:eastAsia="Georgia"/>
                <w:b w:val="0"/>
                <w:i/>
                <w:color w:val="17181B"/>
                <w:sz w:val="20"/>
              </w:rPr>
              <w:t>220.5</w:t>
            </w:r>
          </w:p>
        </w:tc>
        <w:tc>
          <w:tcPr>
            <w:tcW w:type="dxa" w:w="1368"/>
          </w:tcPr>
          <w:p>
            <w:pPr>
              <w:jc w:val="right"/>
            </w:pPr>
            <w:r/>
            <w:r>
              <w:rPr>
                <w:rFonts w:ascii="Georgia" w:hAnsi="Georgia" w:cs="Georgia" w:eastAsia="Georgia"/>
                <w:b w:val="0"/>
                <w:i/>
                <w:color w:val="17181B"/>
                <w:sz w:val="20"/>
              </w:rPr>
              <w:t>257.7</w:t>
            </w:r>
          </w:p>
        </w:tc>
      </w:tr>
      <w:tr>
        <w:tc>
          <w:tcPr>
            <w:tcW w:type="dxa" w:w="2736"/>
          </w:tcPr>
          <w:p>
            <w:r/>
            <w:r>
              <w:rPr>
                <w:rFonts w:ascii="Georgia" w:hAnsi="Georgia" w:cs="Georgia" w:eastAsia="Georgia"/>
                <w:b/>
                <w:i/>
                <w:color w:val="17181B"/>
                <w:sz w:val="20"/>
              </w:rPr>
              <w:t>Net income (12% margin)</w:t>
            </w:r>
          </w:p>
        </w:tc>
        <w:tc>
          <w:tcPr>
            <w:tcW w:type="dxa" w:w="1368"/>
          </w:tcPr>
          <w:p>
            <w:pPr>
              <w:jc w:val="right"/>
            </w:pPr>
            <w:r/>
            <w:r>
              <w:rPr>
                <w:rFonts w:ascii="Georgia" w:hAnsi="Georgia" w:cs="Georgia" w:eastAsia="Georgia"/>
                <w:b w:val="0"/>
                <w:i/>
                <w:color w:val="17181B"/>
                <w:sz w:val="20"/>
              </w:rPr>
              <w:t>73.7</w:t>
            </w:r>
          </w:p>
        </w:tc>
        <w:tc>
          <w:tcPr>
            <w:tcW w:type="dxa" w:w="1368"/>
          </w:tcPr>
          <w:p>
            <w:pPr>
              <w:jc w:val="right"/>
            </w:pPr>
            <w:r/>
            <w:r>
              <w:rPr>
                <w:rFonts w:ascii="Georgia" w:hAnsi="Georgia" w:cs="Georgia" w:eastAsia="Georgia"/>
                <w:b w:val="0"/>
                <w:i/>
                <w:color w:val="17181B"/>
                <w:sz w:val="20"/>
              </w:rPr>
              <w:t>87.0</w:t>
            </w:r>
          </w:p>
        </w:tc>
        <w:tc>
          <w:tcPr>
            <w:tcW w:type="dxa" w:w="1368"/>
          </w:tcPr>
          <w:p>
            <w:pPr>
              <w:jc w:val="right"/>
            </w:pPr>
            <w:r/>
            <w:r>
              <w:rPr>
                <w:rFonts w:ascii="Georgia" w:hAnsi="Georgia" w:cs="Georgia" w:eastAsia="Georgia"/>
                <w:b w:val="0"/>
                <w:i/>
                <w:color w:val="17181B"/>
                <w:sz w:val="20"/>
              </w:rPr>
              <w:t>100.9</w:t>
            </w:r>
          </w:p>
        </w:tc>
        <w:tc>
          <w:tcPr>
            <w:tcW w:type="dxa" w:w="1368"/>
          </w:tcPr>
          <w:p>
            <w:pPr>
              <w:jc w:val="right"/>
            </w:pPr>
            <w:r/>
            <w:r>
              <w:rPr>
                <w:rFonts w:ascii="Georgia" w:hAnsi="Georgia" w:cs="Georgia" w:eastAsia="Georgia"/>
                <w:b w:val="0"/>
                <w:i/>
                <w:color w:val="17181B"/>
                <w:sz w:val="20"/>
              </w:rPr>
              <w:t>115.0</w:t>
            </w:r>
          </w:p>
        </w:tc>
        <w:tc>
          <w:tcPr>
            <w:tcW w:type="dxa" w:w="1368"/>
          </w:tcPr>
          <w:p>
            <w:pPr>
              <w:jc w:val="right"/>
            </w:pPr>
            <w:r/>
            <w:r>
              <w:rPr>
                <w:rFonts w:ascii="Georgia" w:hAnsi="Georgia" w:cs="Georgia" w:eastAsia="Georgia"/>
                <w:b w:val="0"/>
                <w:i/>
                <w:color w:val="17181B"/>
                <w:sz w:val="20"/>
              </w:rPr>
              <w:t>128.9</w:t>
            </w:r>
          </w:p>
        </w:tc>
      </w:tr>
    </w:tbl>
    <w:p>
      <w:pPr>
        <w:spacing w:after="40"/>
      </w:pPr>
    </w:p>
    <w:p>
      <w:pPr>
        <w:spacing w:after="100"/>
      </w:pPr>
      <w:r>
        <w:rPr>
          <w:rFonts w:ascii="Georgia" w:hAnsi="Georgia" w:cs="Georgia" w:eastAsia="Georgia"/>
          <w:b/>
          <w:i/>
          <w:color w:val="17181B"/>
          <w:sz w:val="21"/>
        </w:rPr>
        <w:t xml:space="preserve">What changed: </w:t>
      </w:r>
      <w:r>
        <w:rPr>
          <w:rFonts w:ascii="Georgia" w:hAnsi="Georgia" w:cs="Georgia" w:eastAsia="Georgia"/>
          <w:i/>
          <w:color w:val="17181B"/>
          <w:sz w:val="21"/>
        </w:rPr>
        <w:t>Growth slows from 20% to 12% over the forecast while the free cash flow margin widens from 18% to 24%. The margin path, not the growth path, drives the valuation.</w:t>
      </w:r>
    </w:p>
    <w:p>
      <w:pPr>
        <w:keepNext/>
        <w:spacing w:after="80" w:before="280"/>
      </w:pPr>
      <w:r>
        <w:rPr>
          <w:rFonts w:ascii="Georgia" w:hAnsi="Georgia" w:cs="Georgia" w:eastAsia="Georgia"/>
          <w:b/>
          <w:color w:val="17181B"/>
          <w:sz w:val="30"/>
        </w:rPr>
        <w:t>6. Valuation</w:t>
      </w:r>
    </w:p>
    <w:p>
      <w:pPr>
        <w:spacing w:after="120"/>
      </w:pPr>
      <w:r>
        <w:rPr>
          <w:rFonts w:ascii="Georgia" w:hAnsi="Georgia" w:cs="Georgia" w:eastAsia="Georgia"/>
          <w:i/>
          <w:color w:val="6B6A63"/>
          <w:sz w:val="20"/>
        </w:rPr>
        <w:t>Run at least two methods. Print the DCF build, the peer table, the blend that sets the target price, and the sensitivity grid, so the reader sees a range and not a single point.</w:t>
      </w:r>
    </w:p>
    <w:p>
      <w:pPr>
        <w:keepNext/>
        <w:spacing w:after="60" w:before="120"/>
      </w:pPr>
      <w:r>
        <w:rPr>
          <w:rFonts w:ascii="Georgia" w:hAnsi="Georgia" w:cs="Georgia" w:eastAsia="Georgia"/>
          <w:b/>
          <w:color w:val="17181B"/>
          <w:sz w:val="23"/>
        </w:rPr>
        <w:t>Discounted cash flow</w:t>
      </w:r>
    </w:p>
    <w:tbl>
      <w:tblPr>
        <w:tblStyle w:val="TableGrid"/>
        <w:tblW w:type="auto" w:w="0"/>
        <w:tblLook w:firstColumn="1" w:firstRow="1" w:lastColumn="0" w:lastRow="0" w:noHBand="0" w:noVBand="1" w:val="04A0"/>
      </w:tblPr>
      <w:tblGrid>
        <w:gridCol w:w="5040"/>
        <w:gridCol w:w="5040"/>
      </w:tblGrid>
      <w:tr>
        <w:tc>
          <w:tcPr>
            <w:tcW w:type="dxa" w:w="5184"/>
            <w:shd w:val="clear" w:color="auto" w:fill="17181B"/>
          </w:tcPr>
          <w:p>
            <w:r/>
            <w:r>
              <w:rPr>
                <w:rFonts w:ascii="Consolas" w:hAnsi="Consolas" w:cs="Consolas" w:eastAsia="Consolas"/>
                <w:b/>
                <w:color w:val="FFFFFF"/>
                <w:sz w:val="18"/>
              </w:rPr>
              <w:t>DCF ITEM</w:t>
            </w:r>
          </w:p>
        </w:tc>
        <w:tc>
          <w:tcPr>
            <w:tcW w:type="dxa" w:w="4320"/>
            <w:shd w:val="clear" w:color="auto" w:fill="17181B"/>
          </w:tcPr>
          <w:p>
            <w:r/>
            <w:r>
              <w:rPr>
                <w:rFonts w:ascii="Consolas" w:hAnsi="Consolas" w:cs="Consolas" w:eastAsia="Consolas"/>
                <w:b/>
                <w:color w:val="FFFFFF"/>
                <w:sz w:val="18"/>
              </w:rPr>
              <w:t>VALUE</w:t>
            </w:r>
          </w:p>
        </w:tc>
      </w:tr>
      <w:tr>
        <w:tc>
          <w:tcPr>
            <w:tcW w:type="dxa" w:w="5184"/>
          </w:tcPr>
          <w:p>
            <w:r/>
            <w:r>
              <w:rPr>
                <w:rFonts w:ascii="Georgia" w:hAnsi="Georgia" w:cs="Georgia" w:eastAsia="Georgia"/>
                <w:b/>
                <w:i/>
                <w:color w:val="17181B"/>
                <w:sz w:val="20"/>
              </w:rPr>
              <w:t>WACC / terminal growth</w:t>
            </w:r>
          </w:p>
        </w:tc>
        <w:tc>
          <w:tcPr>
            <w:tcW w:type="dxa" w:w="4320"/>
          </w:tcPr>
          <w:p>
            <w:r/>
            <w:r>
              <w:rPr>
                <w:rFonts w:ascii="Georgia" w:hAnsi="Georgia" w:cs="Georgia" w:eastAsia="Georgia"/>
                <w:b w:val="0"/>
                <w:i/>
                <w:color w:val="17181B"/>
                <w:sz w:val="20"/>
              </w:rPr>
              <w:t>9.5% / 3.0%</w:t>
            </w:r>
          </w:p>
        </w:tc>
      </w:tr>
      <w:tr>
        <w:tc>
          <w:tcPr>
            <w:tcW w:type="dxa" w:w="5184"/>
          </w:tcPr>
          <w:p>
            <w:r/>
            <w:r>
              <w:rPr>
                <w:rFonts w:ascii="Georgia" w:hAnsi="Georgia" w:cs="Georgia" w:eastAsia="Georgia"/>
                <w:b/>
                <w:i/>
                <w:color w:val="17181B"/>
                <w:sz w:val="20"/>
              </w:rPr>
              <w:t>PV of FY2026E-FY2030E free cash flow</w:t>
            </w:r>
          </w:p>
        </w:tc>
        <w:tc>
          <w:tcPr>
            <w:tcW w:type="dxa" w:w="4320"/>
          </w:tcPr>
          <w:p>
            <w:r/>
            <w:r>
              <w:rPr>
                <w:rFonts w:ascii="Georgia" w:hAnsi="Georgia" w:cs="Georgia" w:eastAsia="Georgia"/>
                <w:b w:val="0"/>
                <w:i/>
                <w:color w:val="17181B"/>
                <w:sz w:val="20"/>
              </w:rPr>
              <w:t>$679.9 million</w:t>
            </w:r>
          </w:p>
        </w:tc>
      </w:tr>
      <w:tr>
        <w:tc>
          <w:tcPr>
            <w:tcW w:type="dxa" w:w="5184"/>
          </w:tcPr>
          <w:p>
            <w:r/>
            <w:r>
              <w:rPr>
                <w:rFonts w:ascii="Georgia" w:hAnsi="Georgia" w:cs="Georgia" w:eastAsia="Georgia"/>
                <w:b/>
                <w:i/>
                <w:color w:val="17181B"/>
                <w:sz w:val="20"/>
              </w:rPr>
              <w:t>PV of terminal value</w:t>
            </w:r>
          </w:p>
        </w:tc>
        <w:tc>
          <w:tcPr>
            <w:tcW w:type="dxa" w:w="4320"/>
          </w:tcPr>
          <w:p>
            <w:r/>
            <w:r>
              <w:rPr>
                <w:rFonts w:ascii="Georgia" w:hAnsi="Georgia" w:cs="Georgia" w:eastAsia="Georgia"/>
                <w:b w:val="0"/>
                <w:i/>
                <w:color w:val="17181B"/>
                <w:sz w:val="20"/>
              </w:rPr>
              <w:t>$2,594.1 million</w:t>
            </w:r>
          </w:p>
        </w:tc>
      </w:tr>
      <w:tr>
        <w:tc>
          <w:tcPr>
            <w:tcW w:type="dxa" w:w="5184"/>
          </w:tcPr>
          <w:p>
            <w:r/>
            <w:r>
              <w:rPr>
                <w:rFonts w:ascii="Georgia" w:hAnsi="Georgia" w:cs="Georgia" w:eastAsia="Georgia"/>
                <w:b/>
                <w:i/>
                <w:color w:val="17181B"/>
                <w:sz w:val="20"/>
              </w:rPr>
              <w:t>Enterprise value</w:t>
            </w:r>
          </w:p>
        </w:tc>
        <w:tc>
          <w:tcPr>
            <w:tcW w:type="dxa" w:w="4320"/>
          </w:tcPr>
          <w:p>
            <w:r/>
            <w:r>
              <w:rPr>
                <w:rFonts w:ascii="Georgia" w:hAnsi="Georgia" w:cs="Georgia" w:eastAsia="Georgia"/>
                <w:b w:val="0"/>
                <w:i/>
                <w:color w:val="17181B"/>
                <w:sz w:val="20"/>
              </w:rPr>
              <w:t>$3,274.0 million</w:t>
            </w:r>
          </w:p>
        </w:tc>
      </w:tr>
      <w:tr>
        <w:tc>
          <w:tcPr>
            <w:tcW w:type="dxa" w:w="5184"/>
          </w:tcPr>
          <w:p>
            <w:r/>
            <w:r>
              <w:rPr>
                <w:rFonts w:ascii="Georgia" w:hAnsi="Georgia" w:cs="Georgia" w:eastAsia="Georgia"/>
                <w:b/>
                <w:i/>
                <w:color w:val="17181B"/>
                <w:sz w:val="20"/>
              </w:rPr>
              <w:t>Plus net cash</w:t>
            </w:r>
          </w:p>
        </w:tc>
        <w:tc>
          <w:tcPr>
            <w:tcW w:type="dxa" w:w="4320"/>
          </w:tcPr>
          <w:p>
            <w:r/>
            <w:r>
              <w:rPr>
                <w:rFonts w:ascii="Georgia" w:hAnsi="Georgia" w:cs="Georgia" w:eastAsia="Georgia"/>
                <w:b w:val="0"/>
                <w:i/>
                <w:color w:val="17181B"/>
                <w:sz w:val="20"/>
              </w:rPr>
              <w:t>$260.0 million</w:t>
            </w:r>
          </w:p>
        </w:tc>
      </w:tr>
      <w:tr>
        <w:tc>
          <w:tcPr>
            <w:tcW w:type="dxa" w:w="5184"/>
          </w:tcPr>
          <w:p>
            <w:r/>
            <w:r>
              <w:rPr>
                <w:rFonts w:ascii="Georgia" w:hAnsi="Georgia" w:cs="Georgia" w:eastAsia="Georgia"/>
                <w:b/>
                <w:i/>
                <w:color w:val="17181B"/>
                <w:sz w:val="20"/>
              </w:rPr>
              <w:t>Value per share (85.0 million shares)</w:t>
            </w:r>
          </w:p>
        </w:tc>
        <w:tc>
          <w:tcPr>
            <w:tcW w:type="dxa" w:w="4320"/>
          </w:tcPr>
          <w:p>
            <w:r/>
            <w:r>
              <w:rPr>
                <w:rFonts w:ascii="Georgia" w:hAnsi="Georgia" w:cs="Georgia" w:eastAsia="Georgia"/>
                <w:b w:val="0"/>
                <w:i/>
                <w:color w:val="17181B"/>
                <w:sz w:val="20"/>
              </w:rPr>
              <w:t>$41.58</w:t>
            </w:r>
          </w:p>
        </w:tc>
      </w:tr>
      <w:tr>
        <w:tc>
          <w:tcPr>
            <w:tcW w:type="dxa" w:w="5184"/>
          </w:tcPr>
          <w:p>
            <w:r/>
            <w:r>
              <w:rPr>
                <w:rFonts w:ascii="Georgia" w:hAnsi="Georgia" w:cs="Georgia" w:eastAsia="Georgia"/>
                <w:b/>
                <w:i/>
                <w:color w:val="17181B"/>
                <w:sz w:val="20"/>
              </w:rPr>
              <w:t>Terminal value share of enterprise value</w:t>
            </w:r>
          </w:p>
        </w:tc>
        <w:tc>
          <w:tcPr>
            <w:tcW w:type="dxa" w:w="4320"/>
          </w:tcPr>
          <w:p>
            <w:r/>
            <w:r>
              <w:rPr>
                <w:rFonts w:ascii="Georgia" w:hAnsi="Georgia" w:cs="Georgia" w:eastAsia="Georgia"/>
                <w:b w:val="0"/>
                <w:i/>
                <w:color w:val="17181B"/>
                <w:sz w:val="20"/>
              </w:rPr>
              <w:t>79%</w:t>
            </w:r>
          </w:p>
        </w:tc>
      </w:tr>
    </w:tbl>
    <w:p>
      <w:pPr>
        <w:spacing w:after="40"/>
      </w:pPr>
    </w:p>
    <w:p>
      <w:pPr>
        <w:keepNext/>
        <w:spacing w:after="60" w:before="120"/>
      </w:pPr>
      <w:r>
        <w:rPr>
          <w:rFonts w:ascii="Georgia" w:hAnsi="Georgia" w:cs="Georgia" w:eastAsia="Georgia"/>
          <w:b/>
          <w:color w:val="17181B"/>
          <w:sz w:val="23"/>
        </w:rPr>
        <w:t>Comparable company analysis</w:t>
      </w:r>
    </w:p>
    <w:tbl>
      <w:tblPr>
        <w:tblStyle w:val="TableGrid"/>
        <w:tblW w:type="auto" w:w="0"/>
        <w:tblLook w:firstColumn="1" w:firstRow="1" w:lastColumn="0" w:lastRow="0" w:noHBand="0" w:noVBand="1" w:val="04A0"/>
      </w:tblPr>
      <w:tblGrid>
        <w:gridCol w:w="5040"/>
        <w:gridCol w:w="5040"/>
      </w:tblGrid>
      <w:tr>
        <w:tc>
          <w:tcPr>
            <w:tcW w:type="dxa" w:w="5184"/>
            <w:shd w:val="clear" w:color="auto" w:fill="17181B"/>
          </w:tcPr>
          <w:p>
            <w:r/>
            <w:r>
              <w:rPr>
                <w:rFonts w:ascii="Consolas" w:hAnsi="Consolas" w:cs="Consolas" w:eastAsia="Consolas"/>
                <w:b/>
                <w:color w:val="FFFFFF"/>
                <w:sz w:val="18"/>
              </w:rPr>
              <w:t>COMPANY</w:t>
            </w:r>
          </w:p>
        </w:tc>
        <w:tc>
          <w:tcPr>
            <w:tcW w:type="dxa" w:w="4320"/>
            <w:shd w:val="clear" w:color="auto" w:fill="17181B"/>
          </w:tcPr>
          <w:p>
            <w:r/>
            <w:r>
              <w:rPr>
                <w:rFonts w:ascii="Consolas" w:hAnsi="Consolas" w:cs="Consolas" w:eastAsia="Consolas"/>
                <w:b/>
                <w:color w:val="FFFFFF"/>
                <w:sz w:val="18"/>
              </w:rPr>
              <w:t>EV / NEXT-YEAR REVENUE</w:t>
            </w:r>
          </w:p>
        </w:tc>
      </w:tr>
      <w:tr>
        <w:tc>
          <w:tcPr>
            <w:tcW w:type="dxa" w:w="5184"/>
          </w:tcPr>
          <w:p>
            <w:r/>
            <w:r>
              <w:rPr>
                <w:rFonts w:ascii="Georgia" w:hAnsi="Georgia" w:cs="Georgia" w:eastAsia="Georgia"/>
                <w:b/>
                <w:i/>
                <w:color w:val="17181B"/>
                <w:sz w:val="20"/>
              </w:rPr>
              <w:t>Peer A</w:t>
            </w:r>
          </w:p>
        </w:tc>
        <w:tc>
          <w:tcPr>
            <w:tcW w:type="dxa" w:w="4320"/>
          </w:tcPr>
          <w:p>
            <w:r/>
            <w:r>
              <w:rPr>
                <w:rFonts w:ascii="Georgia" w:hAnsi="Georgia" w:cs="Georgia" w:eastAsia="Georgia"/>
                <w:b w:val="0"/>
                <w:i/>
                <w:color w:val="17181B"/>
                <w:sz w:val="20"/>
              </w:rPr>
              <w:t>5.1x</w:t>
            </w:r>
          </w:p>
        </w:tc>
      </w:tr>
      <w:tr>
        <w:tc>
          <w:tcPr>
            <w:tcW w:type="dxa" w:w="5184"/>
          </w:tcPr>
          <w:p>
            <w:r/>
            <w:r>
              <w:rPr>
                <w:rFonts w:ascii="Georgia" w:hAnsi="Georgia" w:cs="Georgia" w:eastAsia="Georgia"/>
                <w:b/>
                <w:i/>
                <w:color w:val="17181B"/>
                <w:sz w:val="20"/>
              </w:rPr>
              <w:t>Peer B</w:t>
            </w:r>
          </w:p>
        </w:tc>
        <w:tc>
          <w:tcPr>
            <w:tcW w:type="dxa" w:w="4320"/>
          </w:tcPr>
          <w:p>
            <w:r/>
            <w:r>
              <w:rPr>
                <w:rFonts w:ascii="Georgia" w:hAnsi="Georgia" w:cs="Georgia" w:eastAsia="Georgia"/>
                <w:b w:val="0"/>
                <w:i/>
                <w:color w:val="17181B"/>
                <w:sz w:val="20"/>
              </w:rPr>
              <w:t>5.9x</w:t>
            </w:r>
          </w:p>
        </w:tc>
      </w:tr>
      <w:tr>
        <w:tc>
          <w:tcPr>
            <w:tcW w:type="dxa" w:w="5184"/>
          </w:tcPr>
          <w:p>
            <w:r/>
            <w:r>
              <w:rPr>
                <w:rFonts w:ascii="Georgia" w:hAnsi="Georgia" w:cs="Georgia" w:eastAsia="Georgia"/>
                <w:b/>
                <w:i/>
                <w:color w:val="17181B"/>
                <w:sz w:val="20"/>
              </w:rPr>
              <w:t>Peer C</w:t>
            </w:r>
          </w:p>
        </w:tc>
        <w:tc>
          <w:tcPr>
            <w:tcW w:type="dxa" w:w="4320"/>
          </w:tcPr>
          <w:p>
            <w:r/>
            <w:r>
              <w:rPr>
                <w:rFonts w:ascii="Georgia" w:hAnsi="Georgia" w:cs="Georgia" w:eastAsia="Georgia"/>
                <w:b w:val="0"/>
                <w:i/>
                <w:color w:val="17181B"/>
                <w:sz w:val="20"/>
              </w:rPr>
              <w:t>4.8x</w:t>
            </w:r>
          </w:p>
        </w:tc>
      </w:tr>
      <w:tr>
        <w:tc>
          <w:tcPr>
            <w:tcW w:type="dxa" w:w="5184"/>
          </w:tcPr>
          <w:p>
            <w:r/>
            <w:r>
              <w:rPr>
                <w:rFonts w:ascii="Georgia" w:hAnsi="Georgia" w:cs="Georgia" w:eastAsia="Georgia"/>
                <w:b/>
                <w:i/>
                <w:color w:val="17181B"/>
                <w:sz w:val="20"/>
              </w:rPr>
              <w:t>Peer D</w:t>
            </w:r>
          </w:p>
        </w:tc>
        <w:tc>
          <w:tcPr>
            <w:tcW w:type="dxa" w:w="4320"/>
          </w:tcPr>
          <w:p>
            <w:r/>
            <w:r>
              <w:rPr>
                <w:rFonts w:ascii="Georgia" w:hAnsi="Georgia" w:cs="Georgia" w:eastAsia="Georgia"/>
                <w:b w:val="0"/>
                <w:i/>
                <w:color w:val="17181B"/>
                <w:sz w:val="20"/>
              </w:rPr>
              <w:t>6.4x</w:t>
            </w:r>
          </w:p>
        </w:tc>
      </w:tr>
      <w:tr>
        <w:tc>
          <w:tcPr>
            <w:tcW w:type="dxa" w:w="5184"/>
          </w:tcPr>
          <w:p>
            <w:r/>
            <w:r>
              <w:rPr>
                <w:rFonts w:ascii="Georgia" w:hAnsi="Georgia" w:cs="Georgia" w:eastAsia="Georgia"/>
                <w:b/>
                <w:i/>
                <w:color w:val="17181B"/>
                <w:sz w:val="20"/>
              </w:rPr>
              <w:t>Peer E</w:t>
            </w:r>
          </w:p>
        </w:tc>
        <w:tc>
          <w:tcPr>
            <w:tcW w:type="dxa" w:w="4320"/>
          </w:tcPr>
          <w:p>
            <w:r/>
            <w:r>
              <w:rPr>
                <w:rFonts w:ascii="Georgia" w:hAnsi="Georgia" w:cs="Georgia" w:eastAsia="Georgia"/>
                <w:b w:val="0"/>
                <w:i/>
                <w:color w:val="17181B"/>
                <w:sz w:val="20"/>
              </w:rPr>
              <w:t>5.6x</w:t>
            </w:r>
          </w:p>
        </w:tc>
      </w:tr>
      <w:tr>
        <w:tc>
          <w:tcPr>
            <w:tcW w:type="dxa" w:w="5184"/>
          </w:tcPr>
          <w:p>
            <w:r/>
            <w:r>
              <w:rPr>
                <w:rFonts w:ascii="Georgia" w:hAnsi="Georgia" w:cs="Georgia" w:eastAsia="Georgia"/>
                <w:b/>
                <w:i/>
                <w:color w:val="17181B"/>
                <w:sz w:val="20"/>
              </w:rPr>
              <w:t>Peer median</w:t>
            </w:r>
          </w:p>
        </w:tc>
        <w:tc>
          <w:tcPr>
            <w:tcW w:type="dxa" w:w="4320"/>
          </w:tcPr>
          <w:p>
            <w:r/>
            <w:r>
              <w:rPr>
                <w:rFonts w:ascii="Georgia" w:hAnsi="Georgia" w:cs="Georgia" w:eastAsia="Georgia"/>
                <w:b w:val="0"/>
                <w:i/>
                <w:color w:val="17181B"/>
                <w:sz w:val="20"/>
              </w:rPr>
              <w:t>5.6x</w:t>
            </w:r>
          </w:p>
        </w:tc>
      </w:tr>
      <w:tr>
        <w:tc>
          <w:tcPr>
            <w:tcW w:type="dxa" w:w="5184"/>
          </w:tcPr>
          <w:p>
            <w:r/>
            <w:r>
              <w:rPr>
                <w:rFonts w:ascii="Georgia" w:hAnsi="Georgia" w:cs="Georgia" w:eastAsia="Georgia"/>
                <w:b/>
                <w:i/>
                <w:color w:val="17181B"/>
                <w:sz w:val="20"/>
              </w:rPr>
              <w:t>Fieldline (at $38.50)</w:t>
            </w:r>
          </w:p>
        </w:tc>
        <w:tc>
          <w:tcPr>
            <w:tcW w:type="dxa" w:w="4320"/>
          </w:tcPr>
          <w:p>
            <w:r/>
            <w:r>
              <w:rPr>
                <w:rFonts w:ascii="Georgia" w:hAnsi="Georgia" w:cs="Georgia" w:eastAsia="Georgia"/>
                <w:b w:val="0"/>
                <w:i/>
                <w:color w:val="17181B"/>
                <w:sz w:val="20"/>
              </w:rPr>
              <w:t>4.2x</w:t>
            </w:r>
          </w:p>
        </w:tc>
      </w:tr>
    </w:tbl>
    <w:p>
      <w:pPr>
        <w:spacing w:after="40"/>
      </w:pPr>
    </w:p>
    <w:p>
      <w:pPr>
        <w:keepNext/>
        <w:spacing w:after="60" w:before="120"/>
      </w:pPr>
      <w:r>
        <w:rPr>
          <w:rFonts w:ascii="Georgia" w:hAnsi="Georgia" w:cs="Georgia" w:eastAsia="Georgia"/>
          <w:b/>
          <w:color w:val="17181B"/>
          <w:sz w:val="23"/>
        </w:rPr>
        <w:t>Target price</w:t>
      </w:r>
    </w:p>
    <w:tbl>
      <w:tblPr>
        <w:tblStyle w:val="TableGrid"/>
        <w:tblW w:type="auto" w:w="0"/>
        <w:tblLook w:firstColumn="1" w:firstRow="1" w:lastColumn="0" w:lastRow="0" w:noHBand="0" w:noVBand="1" w:val="04A0"/>
      </w:tblPr>
      <w:tblGrid>
        <w:gridCol w:w="5040"/>
        <w:gridCol w:w="5040"/>
      </w:tblGrid>
      <w:tr>
        <w:tc>
          <w:tcPr>
            <w:tcW w:type="dxa" w:w="6624"/>
            <w:shd w:val="clear" w:color="auto" w:fill="17181B"/>
          </w:tcPr>
          <w:p>
            <w:r/>
            <w:r>
              <w:rPr>
                <w:rFonts w:ascii="Consolas" w:hAnsi="Consolas" w:cs="Consolas" w:eastAsia="Consolas"/>
                <w:b/>
                <w:color w:val="FFFFFF"/>
                <w:sz w:val="18"/>
              </w:rPr>
              <w:t>STEP</w:t>
            </w:r>
          </w:p>
        </w:tc>
        <w:tc>
          <w:tcPr>
            <w:tcW w:type="dxa" w:w="2880"/>
            <w:shd w:val="clear" w:color="auto" w:fill="17181B"/>
          </w:tcPr>
          <w:p>
            <w:r/>
            <w:r>
              <w:rPr>
                <w:rFonts w:ascii="Consolas" w:hAnsi="Consolas" w:cs="Consolas" w:eastAsia="Consolas"/>
                <w:b/>
                <w:color w:val="FFFFFF"/>
                <w:sz w:val="18"/>
              </w:rPr>
              <w:t>VALUE</w:t>
            </w:r>
          </w:p>
        </w:tc>
      </w:tr>
      <w:tr>
        <w:tc>
          <w:tcPr>
            <w:tcW w:type="dxa" w:w="6624"/>
          </w:tcPr>
          <w:p>
            <w:r/>
            <w:r>
              <w:rPr>
                <w:rFonts w:ascii="Georgia" w:hAnsi="Georgia" w:cs="Georgia" w:eastAsia="Georgia"/>
                <w:b/>
                <w:i/>
                <w:color w:val="17181B"/>
                <w:sz w:val="20"/>
              </w:rPr>
              <w:t>DCF value per share</w:t>
            </w:r>
          </w:p>
        </w:tc>
        <w:tc>
          <w:tcPr>
            <w:tcW w:type="dxa" w:w="2880"/>
          </w:tcPr>
          <w:p>
            <w:r/>
            <w:r>
              <w:rPr>
                <w:rFonts w:ascii="Georgia" w:hAnsi="Georgia" w:cs="Georgia" w:eastAsia="Georgia"/>
                <w:b w:val="0"/>
                <w:i/>
                <w:color w:val="17181B"/>
                <w:sz w:val="20"/>
              </w:rPr>
              <w:t>$41.58</w:t>
            </w:r>
          </w:p>
        </w:tc>
      </w:tr>
      <w:tr>
        <w:tc>
          <w:tcPr>
            <w:tcW w:type="dxa" w:w="6624"/>
          </w:tcPr>
          <w:p>
            <w:r/>
            <w:r>
              <w:rPr>
                <w:rFonts w:ascii="Georgia" w:hAnsi="Georgia" w:cs="Georgia" w:eastAsia="Georgia"/>
                <w:b/>
                <w:i/>
                <w:color w:val="17181B"/>
                <w:sz w:val="20"/>
              </w:rPr>
              <w:t>Comps value per share (5.6x FY2027E revenue of $725.0 million, plus net cash)</w:t>
            </w:r>
          </w:p>
        </w:tc>
        <w:tc>
          <w:tcPr>
            <w:tcW w:type="dxa" w:w="2880"/>
          </w:tcPr>
          <w:p>
            <w:r/>
            <w:r>
              <w:rPr>
                <w:rFonts w:ascii="Georgia" w:hAnsi="Georgia" w:cs="Georgia" w:eastAsia="Georgia"/>
                <w:b w:val="0"/>
                <w:i/>
                <w:color w:val="17181B"/>
                <w:sz w:val="20"/>
              </w:rPr>
              <w:t>$50.82</w:t>
            </w:r>
          </w:p>
        </w:tc>
      </w:tr>
      <w:tr>
        <w:tc>
          <w:tcPr>
            <w:tcW w:type="dxa" w:w="6624"/>
          </w:tcPr>
          <w:p>
            <w:r/>
            <w:r>
              <w:rPr>
                <w:rFonts w:ascii="Georgia" w:hAnsi="Georgia" w:cs="Georgia" w:eastAsia="Georgia"/>
                <w:b/>
                <w:i/>
                <w:color w:val="17181B"/>
                <w:sz w:val="20"/>
              </w:rPr>
              <w:t>50/50 blend</w:t>
            </w:r>
          </w:p>
        </w:tc>
        <w:tc>
          <w:tcPr>
            <w:tcW w:type="dxa" w:w="2880"/>
          </w:tcPr>
          <w:p>
            <w:r/>
            <w:r>
              <w:rPr>
                <w:rFonts w:ascii="Georgia" w:hAnsi="Georgia" w:cs="Georgia" w:eastAsia="Georgia"/>
                <w:b w:val="0"/>
                <w:i/>
                <w:color w:val="17181B"/>
                <w:sz w:val="20"/>
              </w:rPr>
              <w:t>$46.20</w:t>
            </w:r>
          </w:p>
        </w:tc>
      </w:tr>
      <w:tr>
        <w:tc>
          <w:tcPr>
            <w:tcW w:type="dxa" w:w="6624"/>
          </w:tcPr>
          <w:p>
            <w:r/>
            <w:r>
              <w:rPr>
                <w:rFonts w:ascii="Georgia" w:hAnsi="Georgia" w:cs="Georgia" w:eastAsia="Georgia"/>
                <w:b/>
                <w:i/>
                <w:color w:val="17181B"/>
                <w:sz w:val="20"/>
              </w:rPr>
              <w:t>Target price (rounded)</w:t>
            </w:r>
          </w:p>
        </w:tc>
        <w:tc>
          <w:tcPr>
            <w:tcW w:type="dxa" w:w="2880"/>
          </w:tcPr>
          <w:p>
            <w:r/>
            <w:r>
              <w:rPr>
                <w:rFonts w:ascii="Georgia" w:hAnsi="Georgia" w:cs="Georgia" w:eastAsia="Georgia"/>
                <w:b w:val="0"/>
                <w:i/>
                <w:color w:val="17181B"/>
                <w:sz w:val="20"/>
              </w:rPr>
              <w:t>$46.00</w:t>
            </w:r>
          </w:p>
        </w:tc>
      </w:tr>
      <w:tr>
        <w:tc>
          <w:tcPr>
            <w:tcW w:type="dxa" w:w="6624"/>
          </w:tcPr>
          <w:p>
            <w:r/>
            <w:r>
              <w:rPr>
                <w:rFonts w:ascii="Georgia" w:hAnsi="Georgia" w:cs="Georgia" w:eastAsia="Georgia"/>
                <w:b/>
                <w:i/>
                <w:color w:val="17181B"/>
                <w:sz w:val="20"/>
              </w:rPr>
              <w:t>Upside to $38.50</w:t>
            </w:r>
          </w:p>
        </w:tc>
        <w:tc>
          <w:tcPr>
            <w:tcW w:type="dxa" w:w="2880"/>
          </w:tcPr>
          <w:p>
            <w:r/>
            <w:r>
              <w:rPr>
                <w:rFonts w:ascii="Georgia" w:hAnsi="Georgia" w:cs="Georgia" w:eastAsia="Georgia"/>
                <w:b w:val="0"/>
                <w:i/>
                <w:color w:val="17181B"/>
                <w:sz w:val="20"/>
              </w:rPr>
              <w:t>19.5%</w:t>
            </w:r>
          </w:p>
        </w:tc>
      </w:tr>
      <w:tr>
        <w:tc>
          <w:tcPr>
            <w:tcW w:type="dxa" w:w="6624"/>
          </w:tcPr>
          <w:p>
            <w:r/>
            <w:r>
              <w:rPr>
                <w:rFonts w:ascii="Georgia" w:hAnsi="Georgia" w:cs="Georgia" w:eastAsia="Georgia"/>
                <w:b/>
                <w:i/>
                <w:color w:val="17181B"/>
                <w:sz w:val="20"/>
              </w:rPr>
              <w:t>Rating (Buy at 15% or more)</w:t>
            </w:r>
          </w:p>
        </w:tc>
        <w:tc>
          <w:tcPr>
            <w:tcW w:type="dxa" w:w="2880"/>
          </w:tcPr>
          <w:p>
            <w:r/>
            <w:r>
              <w:rPr>
                <w:rFonts w:ascii="Georgia" w:hAnsi="Georgia" w:cs="Georgia" w:eastAsia="Georgia"/>
                <w:b w:val="0"/>
                <w:i/>
                <w:color w:val="17181B"/>
                <w:sz w:val="20"/>
              </w:rPr>
              <w:t>Buy</w:t>
            </w:r>
          </w:p>
        </w:tc>
      </w:tr>
    </w:tbl>
    <w:p>
      <w:pPr>
        <w:spacing w:after="40"/>
      </w:pPr>
    </w:p>
    <w:p>
      <w:pPr>
        <w:keepNext/>
        <w:spacing w:after="60" w:before="120"/>
      </w:pPr>
      <w:r>
        <w:rPr>
          <w:rFonts w:ascii="Georgia" w:hAnsi="Georgia" w:cs="Georgia" w:eastAsia="Georgia"/>
          <w:b/>
          <w:color w:val="17181B"/>
          <w:sz w:val="23"/>
        </w:rPr>
        <w:t>Sensitivity: DCF value per share</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2736"/>
            <w:shd w:val="clear" w:color="auto" w:fill="17181B"/>
          </w:tcPr>
          <w:p>
            <w:r/>
            <w:r>
              <w:rPr>
                <w:rFonts w:ascii="Consolas" w:hAnsi="Consolas" w:cs="Consolas" w:eastAsia="Consolas"/>
                <w:b/>
                <w:color w:val="FFFFFF"/>
                <w:sz w:val="18"/>
              </w:rPr>
              <w:t>WACC \ TERMINAL GROWTH</w:t>
            </w:r>
          </w:p>
        </w:tc>
        <w:tc>
          <w:tcPr>
            <w:tcW w:type="dxa" w:w="1368"/>
            <w:shd w:val="clear" w:color="auto" w:fill="17181B"/>
          </w:tcPr>
          <w:p>
            <w:r/>
            <w:r>
              <w:rPr>
                <w:rFonts w:ascii="Consolas" w:hAnsi="Consolas" w:cs="Consolas" w:eastAsia="Consolas"/>
                <w:b/>
                <w:color w:val="FFFFFF"/>
                <w:sz w:val="18"/>
              </w:rPr>
              <w:t>2.0%</w:t>
            </w:r>
          </w:p>
        </w:tc>
        <w:tc>
          <w:tcPr>
            <w:tcW w:type="dxa" w:w="1368"/>
            <w:shd w:val="clear" w:color="auto" w:fill="17181B"/>
          </w:tcPr>
          <w:p>
            <w:r/>
            <w:r>
              <w:rPr>
                <w:rFonts w:ascii="Consolas" w:hAnsi="Consolas" w:cs="Consolas" w:eastAsia="Consolas"/>
                <w:b/>
                <w:color w:val="FFFFFF"/>
                <w:sz w:val="18"/>
              </w:rPr>
              <w:t>2.5%</w:t>
            </w:r>
          </w:p>
        </w:tc>
        <w:tc>
          <w:tcPr>
            <w:tcW w:type="dxa" w:w="1368"/>
            <w:shd w:val="clear" w:color="auto" w:fill="17181B"/>
          </w:tcPr>
          <w:p>
            <w:r/>
            <w:r>
              <w:rPr>
                <w:rFonts w:ascii="Consolas" w:hAnsi="Consolas" w:cs="Consolas" w:eastAsia="Consolas"/>
                <w:b/>
                <w:color w:val="FFFFFF"/>
                <w:sz w:val="18"/>
              </w:rPr>
              <w:t>3.0%</w:t>
            </w:r>
          </w:p>
        </w:tc>
        <w:tc>
          <w:tcPr>
            <w:tcW w:type="dxa" w:w="1368"/>
            <w:shd w:val="clear" w:color="auto" w:fill="17181B"/>
          </w:tcPr>
          <w:p>
            <w:r/>
            <w:r>
              <w:rPr>
                <w:rFonts w:ascii="Consolas" w:hAnsi="Consolas" w:cs="Consolas" w:eastAsia="Consolas"/>
                <w:b/>
                <w:color w:val="FFFFFF"/>
                <w:sz w:val="18"/>
              </w:rPr>
              <w:t>3.5%</w:t>
            </w:r>
          </w:p>
        </w:tc>
        <w:tc>
          <w:tcPr>
            <w:tcW w:type="dxa" w:w="1368"/>
            <w:shd w:val="clear" w:color="auto" w:fill="17181B"/>
          </w:tcPr>
          <w:p>
            <w:r/>
            <w:r>
              <w:rPr>
                <w:rFonts w:ascii="Consolas" w:hAnsi="Consolas" w:cs="Consolas" w:eastAsia="Consolas"/>
                <w:b/>
                <w:color w:val="FFFFFF"/>
                <w:sz w:val="18"/>
              </w:rPr>
              <w:t>4.0%</w:t>
            </w:r>
          </w:p>
        </w:tc>
      </w:tr>
      <w:tr>
        <w:tc>
          <w:tcPr>
            <w:tcW w:type="dxa" w:w="2736"/>
          </w:tcPr>
          <w:p>
            <w:r/>
            <w:r>
              <w:rPr>
                <w:rFonts w:ascii="Georgia" w:hAnsi="Georgia" w:cs="Georgia" w:eastAsia="Georgia"/>
                <w:b/>
                <w:i/>
                <w:color w:val="17181B"/>
                <w:sz w:val="20"/>
              </w:rPr>
              <w:t>8.5%</w:t>
            </w:r>
          </w:p>
        </w:tc>
        <w:tc>
          <w:tcPr>
            <w:tcW w:type="dxa" w:w="1368"/>
          </w:tcPr>
          <w:p>
            <w:pPr>
              <w:jc w:val="right"/>
            </w:pPr>
            <w:r/>
            <w:r>
              <w:rPr>
                <w:rFonts w:ascii="Georgia" w:hAnsi="Georgia" w:cs="Georgia" w:eastAsia="Georgia"/>
                <w:b w:val="0"/>
                <w:i/>
                <w:color w:val="17181B"/>
                <w:sz w:val="20"/>
              </w:rPr>
              <w:t>$42.94</w:t>
            </w:r>
          </w:p>
        </w:tc>
        <w:tc>
          <w:tcPr>
            <w:tcW w:type="dxa" w:w="1368"/>
          </w:tcPr>
          <w:p>
            <w:pPr>
              <w:jc w:val="right"/>
            </w:pPr>
            <w:r/>
            <w:r>
              <w:rPr>
                <w:rFonts w:ascii="Georgia" w:hAnsi="Georgia" w:cs="Georgia" w:eastAsia="Georgia"/>
                <w:b w:val="0"/>
                <w:i/>
                <w:color w:val="17181B"/>
                <w:sz w:val="20"/>
              </w:rPr>
              <w:t>$45.74</w:t>
            </w:r>
          </w:p>
        </w:tc>
        <w:tc>
          <w:tcPr>
            <w:tcW w:type="dxa" w:w="1368"/>
          </w:tcPr>
          <w:p>
            <w:pPr>
              <w:jc w:val="right"/>
            </w:pPr>
            <w:r/>
            <w:r>
              <w:rPr>
                <w:rFonts w:ascii="Georgia" w:hAnsi="Georgia" w:cs="Georgia" w:eastAsia="Georgia"/>
                <w:b w:val="0"/>
                <w:i/>
                <w:color w:val="17181B"/>
                <w:sz w:val="20"/>
              </w:rPr>
              <w:t>$49.06</w:t>
            </w:r>
          </w:p>
        </w:tc>
        <w:tc>
          <w:tcPr>
            <w:tcW w:type="dxa" w:w="1368"/>
          </w:tcPr>
          <w:p>
            <w:pPr>
              <w:jc w:val="right"/>
            </w:pPr>
            <w:r/>
            <w:r>
              <w:rPr>
                <w:rFonts w:ascii="Georgia" w:hAnsi="Georgia" w:cs="Georgia" w:eastAsia="Georgia"/>
                <w:b w:val="0"/>
                <w:i/>
                <w:color w:val="17181B"/>
                <w:sz w:val="20"/>
              </w:rPr>
              <w:t>$53.04</w:t>
            </w:r>
          </w:p>
        </w:tc>
        <w:tc>
          <w:tcPr>
            <w:tcW w:type="dxa" w:w="1368"/>
          </w:tcPr>
          <w:p>
            <w:pPr>
              <w:jc w:val="right"/>
            </w:pPr>
            <w:r/>
            <w:r>
              <w:rPr>
                <w:rFonts w:ascii="Georgia" w:hAnsi="Georgia" w:cs="Georgia" w:eastAsia="Georgia"/>
                <w:b w:val="0"/>
                <w:i/>
                <w:color w:val="17181B"/>
                <w:sz w:val="20"/>
              </w:rPr>
              <w:t>$57.90</w:t>
            </w:r>
          </w:p>
        </w:tc>
      </w:tr>
      <w:tr>
        <w:tc>
          <w:tcPr>
            <w:tcW w:type="dxa" w:w="2736"/>
          </w:tcPr>
          <w:p>
            <w:r/>
            <w:r>
              <w:rPr>
                <w:rFonts w:ascii="Georgia" w:hAnsi="Georgia" w:cs="Georgia" w:eastAsia="Georgia"/>
                <w:b/>
                <w:i/>
                <w:color w:val="17181B"/>
                <w:sz w:val="20"/>
              </w:rPr>
              <w:t>9.0%</w:t>
            </w:r>
          </w:p>
        </w:tc>
        <w:tc>
          <w:tcPr>
            <w:tcW w:type="dxa" w:w="1368"/>
          </w:tcPr>
          <w:p>
            <w:pPr>
              <w:jc w:val="right"/>
            </w:pPr>
            <w:r/>
            <w:r>
              <w:rPr>
                <w:rFonts w:ascii="Georgia" w:hAnsi="Georgia" w:cs="Georgia" w:eastAsia="Georgia"/>
                <w:b w:val="0"/>
                <w:i/>
                <w:color w:val="17181B"/>
                <w:sz w:val="20"/>
              </w:rPr>
              <w:t>$39.89</w:t>
            </w:r>
          </w:p>
        </w:tc>
        <w:tc>
          <w:tcPr>
            <w:tcW w:type="dxa" w:w="1368"/>
          </w:tcPr>
          <w:p>
            <w:pPr>
              <w:jc w:val="right"/>
            </w:pPr>
            <w:r/>
            <w:r>
              <w:rPr>
                <w:rFonts w:ascii="Georgia" w:hAnsi="Georgia" w:cs="Georgia" w:eastAsia="Georgia"/>
                <w:b w:val="0"/>
                <w:i/>
                <w:color w:val="17181B"/>
                <w:sz w:val="20"/>
              </w:rPr>
              <w:t>$42.25</w:t>
            </w:r>
          </w:p>
        </w:tc>
        <w:tc>
          <w:tcPr>
            <w:tcW w:type="dxa" w:w="1368"/>
          </w:tcPr>
          <w:p>
            <w:pPr>
              <w:jc w:val="right"/>
            </w:pPr>
            <w:r/>
            <w:r>
              <w:rPr>
                <w:rFonts w:ascii="Georgia" w:hAnsi="Georgia" w:cs="Georgia" w:eastAsia="Georgia"/>
                <w:b w:val="0"/>
                <w:i/>
                <w:color w:val="17181B"/>
                <w:sz w:val="20"/>
              </w:rPr>
              <w:t>$45.00</w:t>
            </w:r>
          </w:p>
        </w:tc>
        <w:tc>
          <w:tcPr>
            <w:tcW w:type="dxa" w:w="1368"/>
          </w:tcPr>
          <w:p>
            <w:pPr>
              <w:jc w:val="right"/>
            </w:pPr>
            <w:r/>
            <w:r>
              <w:rPr>
                <w:rFonts w:ascii="Georgia" w:hAnsi="Georgia" w:cs="Georgia" w:eastAsia="Georgia"/>
                <w:b w:val="0"/>
                <w:i/>
                <w:color w:val="17181B"/>
                <w:sz w:val="20"/>
              </w:rPr>
              <w:t>$48.26</w:t>
            </w:r>
          </w:p>
        </w:tc>
        <w:tc>
          <w:tcPr>
            <w:tcW w:type="dxa" w:w="1368"/>
          </w:tcPr>
          <w:p>
            <w:pPr>
              <w:jc w:val="right"/>
            </w:pPr>
            <w:r/>
            <w:r>
              <w:rPr>
                <w:rFonts w:ascii="Georgia" w:hAnsi="Georgia" w:cs="Georgia" w:eastAsia="Georgia"/>
                <w:b w:val="0"/>
                <w:i/>
                <w:color w:val="17181B"/>
                <w:sz w:val="20"/>
              </w:rPr>
              <w:t>$52.16</w:t>
            </w:r>
          </w:p>
        </w:tc>
      </w:tr>
      <w:tr>
        <w:tc>
          <w:tcPr>
            <w:tcW w:type="dxa" w:w="2736"/>
          </w:tcPr>
          <w:p>
            <w:r/>
            <w:r>
              <w:rPr>
                <w:rFonts w:ascii="Georgia" w:hAnsi="Georgia" w:cs="Georgia" w:eastAsia="Georgia"/>
                <w:b/>
                <w:i/>
                <w:color w:val="17181B"/>
                <w:sz w:val="20"/>
              </w:rPr>
              <w:t>9.5%</w:t>
            </w:r>
          </w:p>
        </w:tc>
        <w:tc>
          <w:tcPr>
            <w:tcW w:type="dxa" w:w="1368"/>
          </w:tcPr>
          <w:p>
            <w:pPr>
              <w:jc w:val="right"/>
            </w:pPr>
            <w:r/>
            <w:r>
              <w:rPr>
                <w:rFonts w:ascii="Georgia" w:hAnsi="Georgia" w:cs="Georgia" w:eastAsia="Georgia"/>
                <w:b w:val="0"/>
                <w:i/>
                <w:color w:val="17181B"/>
                <w:sz w:val="20"/>
              </w:rPr>
              <w:t>$37.25</w:t>
            </w:r>
          </w:p>
        </w:tc>
        <w:tc>
          <w:tcPr>
            <w:tcW w:type="dxa" w:w="1368"/>
          </w:tcPr>
          <w:p>
            <w:pPr>
              <w:jc w:val="right"/>
            </w:pPr>
            <w:r/>
            <w:r>
              <w:rPr>
                <w:rFonts w:ascii="Georgia" w:hAnsi="Georgia" w:cs="Georgia" w:eastAsia="Georgia"/>
                <w:b w:val="0"/>
                <w:i/>
                <w:color w:val="17181B"/>
                <w:sz w:val="20"/>
              </w:rPr>
              <w:t>$39.26</w:t>
            </w:r>
          </w:p>
        </w:tc>
        <w:tc>
          <w:tcPr>
            <w:tcW w:type="dxa" w:w="1368"/>
            <w:shd w:val="clear" w:color="auto" w:fill="FBEBCB"/>
          </w:tcPr>
          <w:p>
            <w:pPr>
              <w:jc w:val="right"/>
            </w:pPr>
            <w:r/>
            <w:r>
              <w:rPr>
                <w:rFonts w:ascii="Georgia" w:hAnsi="Georgia" w:cs="Georgia" w:eastAsia="Georgia"/>
                <w:b w:val="0"/>
                <w:i/>
                <w:color w:val="17181B"/>
                <w:sz w:val="20"/>
              </w:rPr>
              <w:t>$41.58</w:t>
            </w:r>
          </w:p>
        </w:tc>
        <w:tc>
          <w:tcPr>
            <w:tcW w:type="dxa" w:w="1368"/>
          </w:tcPr>
          <w:p>
            <w:pPr>
              <w:jc w:val="right"/>
            </w:pPr>
            <w:r/>
            <w:r>
              <w:rPr>
                <w:rFonts w:ascii="Georgia" w:hAnsi="Georgia" w:cs="Georgia" w:eastAsia="Georgia"/>
                <w:b w:val="0"/>
                <w:i/>
                <w:color w:val="17181B"/>
                <w:sz w:val="20"/>
              </w:rPr>
              <w:t>$44.28</w:t>
            </w:r>
          </w:p>
        </w:tc>
        <w:tc>
          <w:tcPr>
            <w:tcW w:type="dxa" w:w="1368"/>
          </w:tcPr>
          <w:p>
            <w:pPr>
              <w:jc w:val="right"/>
            </w:pPr>
            <w:r/>
            <w:r>
              <w:rPr>
                <w:rFonts w:ascii="Georgia" w:hAnsi="Georgia" w:cs="Georgia" w:eastAsia="Georgia"/>
                <w:b w:val="0"/>
                <w:i/>
                <w:color w:val="17181B"/>
                <w:sz w:val="20"/>
              </w:rPr>
              <w:t>$47.48</w:t>
            </w:r>
          </w:p>
        </w:tc>
      </w:tr>
      <w:tr>
        <w:tc>
          <w:tcPr>
            <w:tcW w:type="dxa" w:w="2736"/>
          </w:tcPr>
          <w:p>
            <w:r/>
            <w:r>
              <w:rPr>
                <w:rFonts w:ascii="Georgia" w:hAnsi="Georgia" w:cs="Georgia" w:eastAsia="Georgia"/>
                <w:b/>
                <w:i/>
                <w:color w:val="17181B"/>
                <w:sz w:val="20"/>
              </w:rPr>
              <w:t>10.0%</w:t>
            </w:r>
          </w:p>
        </w:tc>
        <w:tc>
          <w:tcPr>
            <w:tcW w:type="dxa" w:w="1368"/>
          </w:tcPr>
          <w:p>
            <w:pPr>
              <w:jc w:val="right"/>
            </w:pPr>
            <w:r/>
            <w:r>
              <w:rPr>
                <w:rFonts w:ascii="Georgia" w:hAnsi="Georgia" w:cs="Georgia" w:eastAsia="Georgia"/>
                <w:b w:val="0"/>
                <w:i/>
                <w:color w:val="17181B"/>
                <w:sz w:val="20"/>
              </w:rPr>
              <w:t>$34.94</w:t>
            </w:r>
          </w:p>
        </w:tc>
        <w:tc>
          <w:tcPr>
            <w:tcW w:type="dxa" w:w="1368"/>
          </w:tcPr>
          <w:p>
            <w:pPr>
              <w:jc w:val="right"/>
            </w:pPr>
            <w:r/>
            <w:r>
              <w:rPr>
                <w:rFonts w:ascii="Georgia" w:hAnsi="Georgia" w:cs="Georgia" w:eastAsia="Georgia"/>
                <w:b w:val="0"/>
                <w:i/>
                <w:color w:val="17181B"/>
                <w:sz w:val="20"/>
              </w:rPr>
              <w:t>$36.67</w:t>
            </w:r>
          </w:p>
        </w:tc>
        <w:tc>
          <w:tcPr>
            <w:tcW w:type="dxa" w:w="1368"/>
          </w:tcPr>
          <w:p>
            <w:pPr>
              <w:jc w:val="right"/>
            </w:pPr>
            <w:r/>
            <w:r>
              <w:rPr>
                <w:rFonts w:ascii="Georgia" w:hAnsi="Georgia" w:cs="Georgia" w:eastAsia="Georgia"/>
                <w:b w:val="0"/>
                <w:i/>
                <w:color w:val="17181B"/>
                <w:sz w:val="20"/>
              </w:rPr>
              <w:t>$38.64</w:t>
            </w:r>
          </w:p>
        </w:tc>
        <w:tc>
          <w:tcPr>
            <w:tcW w:type="dxa" w:w="1368"/>
          </w:tcPr>
          <w:p>
            <w:pPr>
              <w:jc w:val="right"/>
            </w:pPr>
            <w:r/>
            <w:r>
              <w:rPr>
                <w:rFonts w:ascii="Georgia" w:hAnsi="Georgia" w:cs="Georgia" w:eastAsia="Georgia"/>
                <w:b w:val="0"/>
                <w:i/>
                <w:color w:val="17181B"/>
                <w:sz w:val="20"/>
              </w:rPr>
              <w:t>$40.92</w:t>
            </w:r>
          </w:p>
        </w:tc>
        <w:tc>
          <w:tcPr>
            <w:tcW w:type="dxa" w:w="1368"/>
          </w:tcPr>
          <w:p>
            <w:pPr>
              <w:jc w:val="right"/>
            </w:pPr>
            <w:r/>
            <w:r>
              <w:rPr>
                <w:rFonts w:ascii="Georgia" w:hAnsi="Georgia" w:cs="Georgia" w:eastAsia="Georgia"/>
                <w:b w:val="0"/>
                <w:i/>
                <w:color w:val="17181B"/>
                <w:sz w:val="20"/>
              </w:rPr>
              <w:t>$43.57</w:t>
            </w:r>
          </w:p>
        </w:tc>
      </w:tr>
      <w:tr>
        <w:tc>
          <w:tcPr>
            <w:tcW w:type="dxa" w:w="2736"/>
          </w:tcPr>
          <w:p>
            <w:r/>
            <w:r>
              <w:rPr>
                <w:rFonts w:ascii="Georgia" w:hAnsi="Georgia" w:cs="Georgia" w:eastAsia="Georgia"/>
                <w:b/>
                <w:i/>
                <w:color w:val="17181B"/>
                <w:sz w:val="20"/>
              </w:rPr>
              <w:t>10.5%</w:t>
            </w:r>
          </w:p>
        </w:tc>
        <w:tc>
          <w:tcPr>
            <w:tcW w:type="dxa" w:w="1368"/>
          </w:tcPr>
          <w:p>
            <w:pPr>
              <w:jc w:val="right"/>
            </w:pPr>
            <w:r/>
            <w:r>
              <w:rPr>
                <w:rFonts w:ascii="Georgia" w:hAnsi="Georgia" w:cs="Georgia" w:eastAsia="Georgia"/>
                <w:b w:val="0"/>
                <w:i/>
                <w:color w:val="17181B"/>
                <w:sz w:val="20"/>
              </w:rPr>
              <w:t>$32.91</w:t>
            </w:r>
          </w:p>
        </w:tc>
        <w:tc>
          <w:tcPr>
            <w:tcW w:type="dxa" w:w="1368"/>
          </w:tcPr>
          <w:p>
            <w:pPr>
              <w:jc w:val="right"/>
            </w:pPr>
            <w:r/>
            <w:r>
              <w:rPr>
                <w:rFonts w:ascii="Georgia" w:hAnsi="Georgia" w:cs="Georgia" w:eastAsia="Georgia"/>
                <w:b w:val="0"/>
                <w:i/>
                <w:color w:val="17181B"/>
                <w:sz w:val="20"/>
              </w:rPr>
              <w:t>$34.41</w:t>
            </w:r>
          </w:p>
        </w:tc>
        <w:tc>
          <w:tcPr>
            <w:tcW w:type="dxa" w:w="1368"/>
          </w:tcPr>
          <w:p>
            <w:pPr>
              <w:jc w:val="right"/>
            </w:pPr>
            <w:r/>
            <w:r>
              <w:rPr>
                <w:rFonts w:ascii="Georgia" w:hAnsi="Georgia" w:cs="Georgia" w:eastAsia="Georgia"/>
                <w:b w:val="0"/>
                <w:i/>
                <w:color w:val="17181B"/>
                <w:sz w:val="20"/>
              </w:rPr>
              <w:t>$36.10</w:t>
            </w:r>
          </w:p>
        </w:tc>
        <w:tc>
          <w:tcPr>
            <w:tcW w:type="dxa" w:w="1368"/>
          </w:tcPr>
          <w:p>
            <w:pPr>
              <w:jc w:val="right"/>
            </w:pPr>
            <w:r/>
            <w:r>
              <w:rPr>
                <w:rFonts w:ascii="Georgia" w:hAnsi="Georgia" w:cs="Georgia" w:eastAsia="Georgia"/>
                <w:b w:val="0"/>
                <w:i/>
                <w:color w:val="17181B"/>
                <w:sz w:val="20"/>
              </w:rPr>
              <w:t>$38.04</w:t>
            </w:r>
          </w:p>
        </w:tc>
        <w:tc>
          <w:tcPr>
            <w:tcW w:type="dxa" w:w="1368"/>
          </w:tcPr>
          <w:p>
            <w:pPr>
              <w:jc w:val="right"/>
            </w:pPr>
            <w:r/>
            <w:r>
              <w:rPr>
                <w:rFonts w:ascii="Georgia" w:hAnsi="Georgia" w:cs="Georgia" w:eastAsia="Georgia"/>
                <w:b w:val="0"/>
                <w:i/>
                <w:color w:val="17181B"/>
                <w:sz w:val="20"/>
              </w:rPr>
              <w:t>$40.27</w:t>
            </w:r>
          </w:p>
        </w:tc>
      </w:tr>
    </w:tbl>
    <w:p>
      <w:pPr>
        <w:spacing w:after="40"/>
      </w:pPr>
    </w:p>
    <w:p>
      <w:pPr>
        <w:keepNext/>
        <w:spacing w:after="80" w:before="280"/>
      </w:pPr>
      <w:r>
        <w:rPr>
          <w:rFonts w:ascii="Georgia" w:hAnsi="Georgia" w:cs="Georgia" w:eastAsia="Georgia"/>
          <w:b/>
          <w:color w:val="17181B"/>
          <w:sz w:val="30"/>
        </w:rPr>
        <w:t>7. Investment risks and ESG</w:t>
      </w:r>
    </w:p>
    <w:p>
      <w:pPr>
        <w:spacing w:after="120"/>
      </w:pPr>
      <w:r>
        <w:rPr>
          <w:rFonts w:ascii="Georgia" w:hAnsi="Georgia" w:cs="Georgia" w:eastAsia="Georgia"/>
          <w:i/>
          <w:color w:val="6B6A63"/>
          <w:sz w:val="20"/>
        </w:rPr>
        <w:t>Group risks as operational, financial, market and regulatory, and put a number on each: what it does to the valuation if it lands. A risk with no figure attached gives the reader nothing to weigh.</w:t>
      </w:r>
    </w:p>
    <w:tbl>
      <w:tblPr>
        <w:tblStyle w:val="TableGrid"/>
        <w:tblW w:type="auto" w:w="0"/>
        <w:tblLook w:firstColumn="1" w:firstRow="1" w:lastColumn="0" w:lastRow="0" w:noHBand="0" w:noVBand="1" w:val="04A0"/>
      </w:tblPr>
      <w:tblGrid>
        <w:gridCol w:w="3360"/>
        <w:gridCol w:w="3360"/>
        <w:gridCol w:w="3360"/>
      </w:tblGrid>
      <w:tr>
        <w:tc>
          <w:tcPr>
            <w:tcW w:type="dxa" w:w="4032"/>
            <w:shd w:val="clear" w:color="auto" w:fill="17181B"/>
          </w:tcPr>
          <w:p>
            <w:r/>
            <w:r>
              <w:rPr>
                <w:rFonts w:ascii="Consolas" w:hAnsi="Consolas" w:cs="Consolas" w:eastAsia="Consolas"/>
                <w:b/>
                <w:color w:val="FFFFFF"/>
                <w:sz w:val="18"/>
              </w:rPr>
              <w:t>RISK</w:t>
            </w:r>
          </w:p>
        </w:tc>
        <w:tc>
          <w:tcPr>
            <w:tcW w:type="dxa" w:w="1728"/>
            <w:shd w:val="clear" w:color="auto" w:fill="17181B"/>
          </w:tcPr>
          <w:p>
            <w:r/>
            <w:r>
              <w:rPr>
                <w:rFonts w:ascii="Consolas" w:hAnsi="Consolas" w:cs="Consolas" w:eastAsia="Consolas"/>
                <w:b/>
                <w:color w:val="FFFFFF"/>
                <w:sz w:val="18"/>
              </w:rPr>
              <w:t>CATEGORY</w:t>
            </w:r>
          </w:p>
        </w:tc>
        <w:tc>
          <w:tcPr>
            <w:tcW w:type="dxa" w:w="3744"/>
            <w:shd w:val="clear" w:color="auto" w:fill="17181B"/>
          </w:tcPr>
          <w:p>
            <w:r/>
            <w:r>
              <w:rPr>
                <w:rFonts w:ascii="Consolas" w:hAnsi="Consolas" w:cs="Consolas" w:eastAsia="Consolas"/>
                <w:b/>
                <w:color w:val="FFFFFF"/>
                <w:sz w:val="18"/>
              </w:rPr>
              <w:t>EFFECT ON DCF VALUE ($41.58 BASE)</w:t>
            </w:r>
          </w:p>
        </w:tc>
      </w:tr>
      <w:tr>
        <w:tc>
          <w:tcPr>
            <w:tcW w:type="dxa" w:w="4032"/>
          </w:tcPr>
          <w:p>
            <w:r/>
            <w:r>
              <w:rPr>
                <w:rFonts w:ascii="Georgia" w:hAnsi="Georgia" w:cs="Georgia" w:eastAsia="Georgia"/>
                <w:b w:val="0"/>
                <w:i/>
                <w:color w:val="17181B"/>
                <w:sz w:val="20"/>
              </w:rPr>
              <w:t>Largest customer, 3.1% of revenue, churns</w:t>
            </w:r>
          </w:p>
        </w:tc>
        <w:tc>
          <w:tcPr>
            <w:tcW w:type="dxa" w:w="1728"/>
          </w:tcPr>
          <w:p>
            <w:pPr>
              <w:jc w:val="right"/>
            </w:pPr>
            <w:r/>
            <w:r>
              <w:rPr>
                <w:rFonts w:ascii="Georgia" w:hAnsi="Georgia" w:cs="Georgia" w:eastAsia="Georgia"/>
                <w:b w:val="0"/>
                <w:i/>
                <w:color w:val="17181B"/>
                <w:sz w:val="20"/>
              </w:rPr>
              <w:t>Operational</w:t>
            </w:r>
          </w:p>
        </w:tc>
        <w:tc>
          <w:tcPr>
            <w:tcW w:type="dxa" w:w="3744"/>
          </w:tcPr>
          <w:p>
            <w:pPr>
              <w:jc w:val="right"/>
            </w:pPr>
            <w:r/>
            <w:r>
              <w:rPr>
                <w:rFonts w:ascii="Georgia" w:hAnsi="Georgia" w:cs="Georgia" w:eastAsia="Georgia"/>
                <w:b w:val="0"/>
                <w:i/>
                <w:color w:val="17181B"/>
                <w:sz w:val="20"/>
              </w:rPr>
              <w:t>Revenue 3.1% lower every year: $40.38 (-$1.20)</w:t>
            </w:r>
          </w:p>
        </w:tc>
      </w:tr>
      <w:tr>
        <w:tc>
          <w:tcPr>
            <w:tcW w:type="dxa" w:w="4032"/>
          </w:tcPr>
          <w:p>
            <w:r/>
            <w:r>
              <w:rPr>
                <w:rFonts w:ascii="Georgia" w:hAnsi="Georgia" w:cs="Georgia" w:eastAsia="Georgia"/>
                <w:b w:val="0"/>
                <w:i/>
                <w:color w:val="17181B"/>
                <w:sz w:val="20"/>
              </w:rPr>
              <w:t>Interest rates rise and WACC climbs 50 bp</w:t>
            </w:r>
          </w:p>
        </w:tc>
        <w:tc>
          <w:tcPr>
            <w:tcW w:type="dxa" w:w="1728"/>
          </w:tcPr>
          <w:p>
            <w:pPr>
              <w:jc w:val="right"/>
            </w:pPr>
            <w:r/>
            <w:r>
              <w:rPr>
                <w:rFonts w:ascii="Georgia" w:hAnsi="Georgia" w:cs="Georgia" w:eastAsia="Georgia"/>
                <w:b w:val="0"/>
                <w:i/>
                <w:color w:val="17181B"/>
                <w:sz w:val="20"/>
              </w:rPr>
              <w:t>Market</w:t>
            </w:r>
          </w:p>
        </w:tc>
        <w:tc>
          <w:tcPr>
            <w:tcW w:type="dxa" w:w="3744"/>
          </w:tcPr>
          <w:p>
            <w:pPr>
              <w:jc w:val="right"/>
            </w:pPr>
            <w:r/>
            <w:r>
              <w:rPr>
                <w:rFonts w:ascii="Georgia" w:hAnsi="Georgia" w:cs="Georgia" w:eastAsia="Georgia"/>
                <w:b w:val="0"/>
                <w:i/>
                <w:color w:val="17181B"/>
                <w:sz w:val="20"/>
              </w:rPr>
              <w:t>$38.64 (-$2.94)</w:t>
            </w:r>
          </w:p>
        </w:tc>
      </w:tr>
      <w:tr>
        <w:tc>
          <w:tcPr>
            <w:tcW w:type="dxa" w:w="4032"/>
          </w:tcPr>
          <w:p>
            <w:r/>
            <w:r>
              <w:rPr>
                <w:rFonts w:ascii="Georgia" w:hAnsi="Georgia" w:cs="Georgia" w:eastAsia="Georgia"/>
                <w:b w:val="0"/>
                <w:i/>
                <w:color w:val="17181B"/>
                <w:sz w:val="20"/>
              </w:rPr>
              <w:t>Horizontal field-service suites bundle dispatch at lower prices</w:t>
            </w:r>
          </w:p>
        </w:tc>
        <w:tc>
          <w:tcPr>
            <w:tcW w:type="dxa" w:w="1728"/>
          </w:tcPr>
          <w:p>
            <w:pPr>
              <w:jc w:val="right"/>
            </w:pPr>
            <w:r/>
            <w:r>
              <w:rPr>
                <w:rFonts w:ascii="Georgia" w:hAnsi="Georgia" w:cs="Georgia" w:eastAsia="Georgia"/>
                <w:b w:val="0"/>
                <w:i/>
                <w:color w:val="17181B"/>
                <w:sz w:val="20"/>
              </w:rPr>
              <w:t>Competitive</w:t>
            </w:r>
          </w:p>
        </w:tc>
        <w:tc>
          <w:tcPr>
            <w:tcW w:type="dxa" w:w="3744"/>
          </w:tcPr>
          <w:p>
            <w:pPr>
              <w:jc w:val="right"/>
            </w:pPr>
            <w:r/>
            <w:r>
              <w:rPr>
                <w:rFonts w:ascii="Georgia" w:hAnsi="Georgia" w:cs="Georgia" w:eastAsia="Georgia"/>
                <w:b w:val="0"/>
                <w:i/>
                <w:color w:val="17181B"/>
                <w:sz w:val="20"/>
              </w:rPr>
              <w:t>Terminal growth 2.0% vs 3.0%: $37.25 (-$4.33)</w:t>
            </w:r>
          </w:p>
        </w:tc>
      </w:tr>
      <w:tr>
        <w:tc>
          <w:tcPr>
            <w:tcW w:type="dxa" w:w="4032"/>
          </w:tcPr>
          <w:p>
            <w:r/>
            <w:r>
              <w:rPr>
                <w:rFonts w:ascii="Georgia" w:hAnsi="Georgia" w:cs="Georgia" w:eastAsia="Georgia"/>
                <w:b w:val="0"/>
                <w:i/>
                <w:color w:val="17181B"/>
                <w:sz w:val="20"/>
              </w:rPr>
              <w:t>Regulatory changes to payment processing delay the payments module</w:t>
            </w:r>
          </w:p>
        </w:tc>
        <w:tc>
          <w:tcPr>
            <w:tcW w:type="dxa" w:w="1728"/>
          </w:tcPr>
          <w:p>
            <w:pPr>
              <w:jc w:val="right"/>
            </w:pPr>
            <w:r/>
            <w:r>
              <w:rPr>
                <w:rFonts w:ascii="Georgia" w:hAnsi="Georgia" w:cs="Georgia" w:eastAsia="Georgia"/>
                <w:b w:val="0"/>
                <w:i/>
                <w:color w:val="17181B"/>
                <w:sz w:val="20"/>
              </w:rPr>
              <w:t>Regulatory</w:t>
            </w:r>
          </w:p>
        </w:tc>
        <w:tc>
          <w:tcPr>
            <w:tcW w:type="dxa" w:w="3744"/>
          </w:tcPr>
          <w:p>
            <w:pPr>
              <w:jc w:val="right"/>
            </w:pPr>
            <w:r/>
            <w:r>
              <w:rPr>
                <w:rFonts w:ascii="Georgia" w:hAnsi="Georgia" w:cs="Georgia" w:eastAsia="Georgia"/>
                <w:b w:val="0"/>
                <w:i/>
                <w:color w:val="17181B"/>
                <w:sz w:val="20"/>
              </w:rPr>
              <w:t>FY2027E growth 15% vs 18%: $40.63 (-$0.95)</w:t>
            </w:r>
          </w:p>
        </w:tc>
      </w:tr>
    </w:tbl>
    <w:p>
      <w:pPr>
        <w:spacing w:after="40"/>
      </w:pPr>
    </w:p>
    <w:p>
      <w:pPr>
        <w:keepNext/>
        <w:spacing w:after="60" w:before="120"/>
      </w:pPr>
      <w:r>
        <w:rPr>
          <w:rFonts w:ascii="Georgia" w:hAnsi="Georgia" w:cs="Georgia" w:eastAsia="Georgia"/>
          <w:b/>
          <w:color w:val="17181B"/>
          <w:sz w:val="23"/>
        </w:rPr>
        <w:t>ESG considerations</w:t>
      </w:r>
    </w:p>
    <w:p>
      <w:pPr>
        <w:spacing w:after="120"/>
      </w:pPr>
      <w:r>
        <w:rPr>
          <w:rFonts w:ascii="Georgia" w:hAnsi="Georgia" w:cs="Georgia" w:eastAsia="Georgia"/>
          <w:i/>
          <w:color w:val="6B6A63"/>
          <w:sz w:val="20"/>
        </w:rPr>
        <w:t>List the environmental, social and governance factors that bear on the company, and say if any changes the valuation.</w:t>
      </w:r>
    </w:p>
    <w:p>
      <w:pPr>
        <w:spacing w:after="100"/>
      </w:pPr>
      <w:r>
        <w:rPr>
          <w:rFonts w:ascii="Georgia" w:hAnsi="Georgia" w:cs="Georgia" w:eastAsia="Georgia"/>
          <w:i/>
          <w:color w:val="17181B"/>
          <w:sz w:val="21"/>
        </w:rPr>
        <w:t>[Data protection for contractor and end-customer records; board independence; payments compliance.]</w:t>
      </w:r>
    </w:p>
    <w:p>
      <w:pPr>
        <w:keepNext/>
        <w:spacing w:after="80" w:before="280"/>
      </w:pPr>
      <w:r>
        <w:rPr>
          <w:rFonts w:ascii="Georgia" w:hAnsi="Georgia" w:cs="Georgia" w:eastAsia="Georgia"/>
          <w:b/>
          <w:color w:val="17181B"/>
          <w:sz w:val="30"/>
        </w:rPr>
        <w:t>8. Disclosures and analyst certification</w:t>
      </w:r>
    </w:p>
    <w:p>
      <w:pPr>
        <w:spacing w:after="120"/>
      </w:pPr>
      <w:r>
        <w:rPr>
          <w:rFonts w:ascii="Georgia" w:hAnsi="Georgia" w:cs="Georgia" w:eastAsia="Georgia"/>
          <w:i/>
          <w:color w:val="6B6A63"/>
          <w:sz w:val="20"/>
        </w:rPr>
        <w:t>A report published by a FINRA member firm must define every rating, show the rating distribution, disclose conflicts such as investment banking services in the past 12 months or a 1% ownership stake, and carry the Regulation AC certification. A buy side memo or personal report can drop most of this.</w:t>
      </w:r>
    </w:p>
    <w:tbl>
      <w:tblPr>
        <w:tblStyle w:val="TableGrid"/>
        <w:tblW w:type="auto" w:w="0"/>
        <w:tblLook w:firstColumn="1" w:firstRow="1" w:lastColumn="0" w:lastRow="0" w:noHBand="0" w:noVBand="1" w:val="04A0"/>
      </w:tblPr>
      <w:tblGrid>
        <w:gridCol w:w="5040"/>
        <w:gridCol w:w="5040"/>
      </w:tblGrid>
      <w:tr>
        <w:tc>
          <w:tcPr>
            <w:tcW w:type="dxa" w:w="2304"/>
            <w:shd w:val="clear" w:color="auto" w:fill="17181B"/>
          </w:tcPr>
          <w:p>
            <w:r/>
            <w:r>
              <w:rPr>
                <w:rFonts w:ascii="Consolas" w:hAnsi="Consolas" w:cs="Consolas" w:eastAsia="Consolas"/>
                <w:b/>
                <w:color w:val="FFFFFF"/>
                <w:sz w:val="18"/>
              </w:rPr>
              <w:t>RATING</w:t>
            </w:r>
          </w:p>
        </w:tc>
        <w:tc>
          <w:tcPr>
            <w:tcW w:type="dxa" w:w="7200"/>
            <w:shd w:val="clear" w:color="auto" w:fill="17181B"/>
          </w:tcPr>
          <w:p>
            <w:r/>
            <w:r>
              <w:rPr>
                <w:rFonts w:ascii="Consolas" w:hAnsi="Consolas" w:cs="Consolas" w:eastAsia="Consolas"/>
                <w:b/>
                <w:color w:val="FFFFFF"/>
                <w:sz w:val="18"/>
              </w:rPr>
              <w:t>DEFINITION (12-MONTH HORIZON)</w:t>
            </w:r>
          </w:p>
        </w:tc>
      </w:tr>
      <w:tr>
        <w:tc>
          <w:tcPr>
            <w:tcW w:type="dxa" w:w="2304"/>
          </w:tcPr>
          <w:p>
            <w:r/>
            <w:r>
              <w:rPr>
                <w:rFonts w:ascii="Georgia" w:hAnsi="Georgia" w:cs="Georgia" w:eastAsia="Georgia"/>
                <w:b/>
                <w:i/>
                <w:color w:val="17181B"/>
                <w:sz w:val="20"/>
              </w:rPr>
              <w:t>Buy</w:t>
            </w:r>
          </w:p>
        </w:tc>
        <w:tc>
          <w:tcPr>
            <w:tcW w:type="dxa" w:w="7200"/>
          </w:tcPr>
          <w:p>
            <w:r/>
            <w:r>
              <w:rPr>
                <w:rFonts w:ascii="Georgia" w:hAnsi="Georgia" w:cs="Georgia" w:eastAsia="Georgia"/>
                <w:b w:val="0"/>
                <w:i/>
                <w:color w:val="17181B"/>
                <w:sz w:val="20"/>
              </w:rPr>
              <w:t>Upside to target price of 15% or more</w:t>
            </w:r>
          </w:p>
        </w:tc>
      </w:tr>
      <w:tr>
        <w:tc>
          <w:tcPr>
            <w:tcW w:type="dxa" w:w="2304"/>
          </w:tcPr>
          <w:p>
            <w:r/>
            <w:r>
              <w:rPr>
                <w:rFonts w:ascii="Georgia" w:hAnsi="Georgia" w:cs="Georgia" w:eastAsia="Georgia"/>
                <w:b/>
                <w:i/>
                <w:color w:val="17181B"/>
                <w:sz w:val="20"/>
              </w:rPr>
              <w:t>Hold</w:t>
            </w:r>
          </w:p>
        </w:tc>
        <w:tc>
          <w:tcPr>
            <w:tcW w:type="dxa" w:w="7200"/>
          </w:tcPr>
          <w:p>
            <w:r/>
            <w:r>
              <w:rPr>
                <w:rFonts w:ascii="Georgia" w:hAnsi="Georgia" w:cs="Georgia" w:eastAsia="Georgia"/>
                <w:b w:val="0"/>
                <w:i/>
                <w:color w:val="17181B"/>
                <w:sz w:val="20"/>
              </w:rPr>
              <w:t>Upside between -10% and +15%</w:t>
            </w:r>
          </w:p>
        </w:tc>
      </w:tr>
      <w:tr>
        <w:tc>
          <w:tcPr>
            <w:tcW w:type="dxa" w:w="2304"/>
          </w:tcPr>
          <w:p>
            <w:r/>
            <w:r>
              <w:rPr>
                <w:rFonts w:ascii="Georgia" w:hAnsi="Georgia" w:cs="Georgia" w:eastAsia="Georgia"/>
                <w:b/>
                <w:i/>
                <w:color w:val="17181B"/>
                <w:sz w:val="20"/>
              </w:rPr>
              <w:t>Sell</w:t>
            </w:r>
          </w:p>
        </w:tc>
        <w:tc>
          <w:tcPr>
            <w:tcW w:type="dxa" w:w="7200"/>
          </w:tcPr>
          <w:p>
            <w:r/>
            <w:r>
              <w:rPr>
                <w:rFonts w:ascii="Georgia" w:hAnsi="Georgia" w:cs="Georgia" w:eastAsia="Georgia"/>
                <w:b w:val="0"/>
                <w:i/>
                <w:color w:val="17181B"/>
                <w:sz w:val="20"/>
              </w:rPr>
              <w:t>Upside below -10%</w:t>
            </w:r>
          </w:p>
        </w:tc>
      </w:tr>
    </w:tbl>
    <w:p>
      <w:pPr>
        <w:spacing w:after="40"/>
      </w:pPr>
    </w:p>
    <w:tbl>
      <w:tblPr>
        <w:tblStyle w:val="TableGrid"/>
        <w:tblW w:type="auto" w:w="0"/>
        <w:tblLook w:firstColumn="1" w:firstRow="1" w:lastColumn="0" w:lastRow="0" w:noHBand="0" w:noVBand="1" w:val="04A0"/>
      </w:tblPr>
      <w:tblGrid>
        <w:gridCol w:w="3360"/>
        <w:gridCol w:w="3360"/>
        <w:gridCol w:w="3360"/>
      </w:tblGrid>
      <w:tr>
        <w:tc>
          <w:tcPr>
            <w:tcW w:type="dxa" w:w="2880"/>
            <w:shd w:val="clear" w:color="auto" w:fill="17181B"/>
          </w:tcPr>
          <w:p>
            <w:r/>
            <w:r>
              <w:rPr>
                <w:rFonts w:ascii="Consolas" w:hAnsi="Consolas" w:cs="Consolas" w:eastAsia="Consolas"/>
                <w:b/>
                <w:color w:val="FFFFFF"/>
                <w:sz w:val="18"/>
              </w:rPr>
              <w:t>RATING DISTRIBUTION</w:t>
            </w:r>
          </w:p>
        </w:tc>
        <w:tc>
          <w:tcPr>
            <w:tcW w:type="dxa" w:w="3168"/>
            <w:shd w:val="clear" w:color="auto" w:fill="17181B"/>
          </w:tcPr>
          <w:p>
            <w:r/>
            <w:r>
              <w:rPr>
                <w:rFonts w:ascii="Consolas" w:hAnsi="Consolas" w:cs="Consolas" w:eastAsia="Consolas"/>
                <w:b/>
                <w:color w:val="FFFFFF"/>
                <w:sz w:val="18"/>
              </w:rPr>
              <w:t>% OF COVERED COMPANIES</w:t>
            </w:r>
          </w:p>
        </w:tc>
        <w:tc>
          <w:tcPr>
            <w:tcW w:type="dxa" w:w="3456"/>
            <w:shd w:val="clear" w:color="auto" w:fill="17181B"/>
          </w:tcPr>
          <w:p>
            <w:r/>
            <w:r>
              <w:rPr>
                <w:rFonts w:ascii="Consolas" w:hAnsi="Consolas" w:cs="Consolas" w:eastAsia="Consolas"/>
                <w:b/>
                <w:color w:val="FFFFFF"/>
                <w:sz w:val="18"/>
              </w:rPr>
              <w:t>% RECEIVING INVESTMENT BANKING SERVICES</w:t>
            </w:r>
          </w:p>
        </w:tc>
      </w:tr>
      <w:tr>
        <w:tc>
          <w:tcPr>
            <w:tcW w:type="dxa" w:w="2880"/>
          </w:tcPr>
          <w:p>
            <w:r/>
            <w:r>
              <w:rPr>
                <w:rFonts w:ascii="Georgia" w:hAnsi="Georgia" w:cs="Georgia" w:eastAsia="Georgia"/>
                <w:b/>
                <w:i/>
                <w:color w:val="17181B"/>
                <w:sz w:val="20"/>
              </w:rPr>
              <w:t>Buy</w:t>
            </w:r>
          </w:p>
        </w:tc>
        <w:tc>
          <w:tcPr>
            <w:tcW w:type="dxa" w:w="3168"/>
          </w:tcPr>
          <w:p>
            <w:pPr>
              <w:jc w:val="right"/>
            </w:pPr>
            <w:r/>
            <w:r>
              <w:rPr>
                <w:rFonts w:ascii="Georgia" w:hAnsi="Georgia" w:cs="Georgia" w:eastAsia="Georgia"/>
                <w:b w:val="0"/>
                <w:i/>
                <w:color w:val="17181B"/>
                <w:sz w:val="20"/>
              </w:rPr>
              <w:t>[ ]</w:t>
            </w:r>
          </w:p>
        </w:tc>
        <w:tc>
          <w:tcPr>
            <w:tcW w:type="dxa" w:w="3456"/>
          </w:tcPr>
          <w:p>
            <w:pPr>
              <w:jc w:val="right"/>
            </w:pPr>
            <w:r/>
            <w:r>
              <w:rPr>
                <w:rFonts w:ascii="Georgia" w:hAnsi="Georgia" w:cs="Georgia" w:eastAsia="Georgia"/>
                <w:b w:val="0"/>
                <w:i/>
                <w:color w:val="17181B"/>
                <w:sz w:val="20"/>
              </w:rPr>
              <w:t>[ ]</w:t>
            </w:r>
          </w:p>
        </w:tc>
      </w:tr>
      <w:tr>
        <w:tc>
          <w:tcPr>
            <w:tcW w:type="dxa" w:w="2880"/>
          </w:tcPr>
          <w:p>
            <w:r/>
            <w:r>
              <w:rPr>
                <w:rFonts w:ascii="Georgia" w:hAnsi="Georgia" w:cs="Georgia" w:eastAsia="Georgia"/>
                <w:b/>
                <w:i/>
                <w:color w:val="17181B"/>
                <w:sz w:val="20"/>
              </w:rPr>
              <w:t>Hold</w:t>
            </w:r>
          </w:p>
        </w:tc>
        <w:tc>
          <w:tcPr>
            <w:tcW w:type="dxa" w:w="3168"/>
          </w:tcPr>
          <w:p>
            <w:pPr>
              <w:jc w:val="right"/>
            </w:pPr>
            <w:r/>
            <w:r>
              <w:rPr>
                <w:rFonts w:ascii="Georgia" w:hAnsi="Georgia" w:cs="Georgia" w:eastAsia="Georgia"/>
                <w:b w:val="0"/>
                <w:i/>
                <w:color w:val="17181B"/>
                <w:sz w:val="20"/>
              </w:rPr>
              <w:t>[ ]</w:t>
            </w:r>
          </w:p>
        </w:tc>
        <w:tc>
          <w:tcPr>
            <w:tcW w:type="dxa" w:w="3456"/>
          </w:tcPr>
          <w:p>
            <w:pPr>
              <w:jc w:val="right"/>
            </w:pPr>
            <w:r/>
            <w:r>
              <w:rPr>
                <w:rFonts w:ascii="Georgia" w:hAnsi="Georgia" w:cs="Georgia" w:eastAsia="Georgia"/>
                <w:b w:val="0"/>
                <w:i/>
                <w:color w:val="17181B"/>
                <w:sz w:val="20"/>
              </w:rPr>
              <w:t>[ ]</w:t>
            </w:r>
          </w:p>
        </w:tc>
      </w:tr>
      <w:tr>
        <w:tc>
          <w:tcPr>
            <w:tcW w:type="dxa" w:w="2880"/>
          </w:tcPr>
          <w:p>
            <w:r/>
            <w:r>
              <w:rPr>
                <w:rFonts w:ascii="Georgia" w:hAnsi="Georgia" w:cs="Georgia" w:eastAsia="Georgia"/>
                <w:b/>
                <w:i/>
                <w:color w:val="17181B"/>
                <w:sz w:val="20"/>
              </w:rPr>
              <w:t>Sell</w:t>
            </w:r>
          </w:p>
        </w:tc>
        <w:tc>
          <w:tcPr>
            <w:tcW w:type="dxa" w:w="3168"/>
          </w:tcPr>
          <w:p>
            <w:pPr>
              <w:jc w:val="right"/>
            </w:pPr>
            <w:r/>
            <w:r>
              <w:rPr>
                <w:rFonts w:ascii="Georgia" w:hAnsi="Georgia" w:cs="Georgia" w:eastAsia="Georgia"/>
                <w:b w:val="0"/>
                <w:i/>
                <w:color w:val="17181B"/>
                <w:sz w:val="20"/>
              </w:rPr>
              <w:t>[ ]</w:t>
            </w:r>
          </w:p>
        </w:tc>
        <w:tc>
          <w:tcPr>
            <w:tcW w:type="dxa" w:w="3456"/>
          </w:tcPr>
          <w:p>
            <w:pPr>
              <w:jc w:val="right"/>
            </w:pPr>
            <w:r/>
            <w:r>
              <w:rPr>
                <w:rFonts w:ascii="Georgia" w:hAnsi="Georgia" w:cs="Georgia" w:eastAsia="Georgia"/>
                <w:b w:val="0"/>
                <w:i/>
                <w:color w:val="17181B"/>
                <w:sz w:val="20"/>
              </w:rPr>
              <w:t>[ ]</w:t>
            </w:r>
          </w:p>
        </w:tc>
      </w:tr>
    </w:tbl>
    <w:p>
      <w:pPr>
        <w:spacing w:after="40"/>
      </w:pPr>
    </w:p>
    <w:tbl>
      <w:tblPr>
        <w:tblStyle w:val="TableGrid"/>
        <w:tblW w:type="auto" w:w="0"/>
        <w:tblLook w:firstColumn="1" w:firstRow="1" w:lastColumn="0" w:lastRow="0" w:noHBand="0" w:noVBand="1" w:val="04A0"/>
      </w:tblPr>
      <w:tblGrid>
        <w:gridCol w:w="5040"/>
        <w:gridCol w:w="5040"/>
      </w:tblGrid>
      <w:tr>
        <w:tc>
          <w:tcPr>
            <w:tcW w:type="dxa" w:w="7200"/>
            <w:shd w:val="clear" w:color="auto" w:fill="17181B"/>
          </w:tcPr>
          <w:p>
            <w:r/>
            <w:r>
              <w:rPr>
                <w:rFonts w:ascii="Consolas" w:hAnsi="Consolas" w:cs="Consolas" w:eastAsia="Consolas"/>
                <w:b/>
                <w:color w:val="FFFFFF"/>
                <w:sz w:val="18"/>
              </w:rPr>
              <w:t>CONFLICT DISCLOSURE</w:t>
            </w:r>
          </w:p>
        </w:tc>
        <w:tc>
          <w:tcPr>
            <w:tcW w:type="dxa" w:w="2304"/>
            <w:shd w:val="clear" w:color="auto" w:fill="17181B"/>
          </w:tcPr>
          <w:p>
            <w:r/>
            <w:r>
              <w:rPr>
                <w:rFonts w:ascii="Consolas" w:hAnsi="Consolas" w:cs="Consolas" w:eastAsia="Consolas"/>
                <w:b/>
                <w:color w:val="FFFFFF"/>
                <w:sz w:val="18"/>
              </w:rPr>
              <w:t>YES / NO</w:t>
            </w:r>
          </w:p>
        </w:tc>
      </w:tr>
      <w:tr>
        <w:tc>
          <w:tcPr>
            <w:tcW w:type="dxa" w:w="7200"/>
          </w:tcPr>
          <w:p>
            <w:r/>
            <w:r>
              <w:rPr>
                <w:rFonts w:ascii="Georgia" w:hAnsi="Georgia" w:cs="Georgia" w:eastAsia="Georgia"/>
                <w:b/>
                <w:i/>
                <w:color w:val="17181B"/>
                <w:sz w:val="20"/>
              </w:rPr>
              <w:t>Investment banking services from the subject company in the past 12 months</w:t>
            </w:r>
          </w:p>
        </w:tc>
        <w:tc>
          <w:tcPr>
            <w:tcW w:type="dxa" w:w="2304"/>
          </w:tcPr>
          <w:p>
            <w:r/>
            <w:r>
              <w:rPr>
                <w:rFonts w:ascii="Georgia" w:hAnsi="Georgia" w:cs="Georgia" w:eastAsia="Georgia"/>
                <w:b w:val="0"/>
                <w:i/>
                <w:color w:val="17181B"/>
                <w:sz w:val="20"/>
              </w:rPr>
              <w:t>[ ]</w:t>
            </w:r>
          </w:p>
        </w:tc>
      </w:tr>
      <w:tr>
        <w:tc>
          <w:tcPr>
            <w:tcW w:type="dxa" w:w="7200"/>
          </w:tcPr>
          <w:p>
            <w:r/>
            <w:r>
              <w:rPr>
                <w:rFonts w:ascii="Georgia" w:hAnsi="Georgia" w:cs="Georgia" w:eastAsia="Georgia"/>
                <w:b/>
                <w:i/>
                <w:color w:val="17181B"/>
                <w:sz w:val="20"/>
              </w:rPr>
              <w:t>Firm or analyst owns 1% or more of the subject company's shares</w:t>
            </w:r>
          </w:p>
        </w:tc>
        <w:tc>
          <w:tcPr>
            <w:tcW w:type="dxa" w:w="2304"/>
          </w:tcPr>
          <w:p>
            <w:r/>
            <w:r>
              <w:rPr>
                <w:rFonts w:ascii="Georgia" w:hAnsi="Georgia" w:cs="Georgia" w:eastAsia="Georgia"/>
                <w:b w:val="0"/>
                <w:i/>
                <w:color w:val="17181B"/>
                <w:sz w:val="20"/>
              </w:rPr>
              <w:t>[ ]</w:t>
            </w:r>
          </w:p>
        </w:tc>
      </w:tr>
      <w:tr>
        <w:tc>
          <w:tcPr>
            <w:tcW w:type="dxa" w:w="7200"/>
          </w:tcPr>
          <w:p>
            <w:r/>
            <w:r>
              <w:rPr>
                <w:rFonts w:ascii="Georgia" w:hAnsi="Georgia" w:cs="Georgia" w:eastAsia="Georgia"/>
                <w:b/>
                <w:i/>
                <w:color w:val="17181B"/>
                <w:sz w:val="20"/>
              </w:rPr>
              <w:t>Analyst compensation tied to specific investment banking transactions</w:t>
            </w:r>
          </w:p>
        </w:tc>
        <w:tc>
          <w:tcPr>
            <w:tcW w:type="dxa" w:w="2304"/>
          </w:tcPr>
          <w:p>
            <w:r/>
            <w:r>
              <w:rPr>
                <w:rFonts w:ascii="Georgia" w:hAnsi="Georgia" w:cs="Georgia" w:eastAsia="Georgia"/>
                <w:b w:val="0"/>
                <w:i/>
                <w:color w:val="17181B"/>
                <w:sz w:val="20"/>
              </w:rPr>
              <w:t>[ ]</w:t>
            </w:r>
          </w:p>
        </w:tc>
      </w:tr>
    </w:tbl>
    <w:p>
      <w:pPr>
        <w:spacing w:after="40"/>
      </w:pPr>
    </w:p>
    <w:p>
      <w:pPr>
        <w:keepNext/>
        <w:spacing w:after="60" w:before="120"/>
      </w:pPr>
      <w:r>
        <w:rPr>
          <w:rFonts w:ascii="Georgia" w:hAnsi="Georgia" w:cs="Georgia" w:eastAsia="Georgia"/>
          <w:b/>
          <w:color w:val="17181B"/>
          <w:sz w:val="23"/>
        </w:rPr>
        <w:t>Analyst certification</w:t>
      </w:r>
    </w:p>
    <w:p>
      <w:pPr>
        <w:spacing w:after="100"/>
      </w:pPr>
      <w:r>
        <w:rPr>
          <w:rFonts w:ascii="Georgia" w:hAnsi="Georgia" w:cs="Georgia" w:eastAsia="Georgia"/>
          <w:i/>
          <w:color w:val="17181B"/>
          <w:sz w:val="21"/>
        </w:rPr>
        <w:t>I, [analyst name], certify that the views expressed in this report accurately reflect my personal views about the subject company and its securities, and that no part of my compensation was, is or will be directly or indirectly related to the specific recommendations or views in this report.</w:t>
      </w:r>
    </w:p>
    <w:p>
      <w:pPr>
        <w:spacing w:after="0" w:before="360"/>
      </w:pPr>
      <w:r>
        <w:rPr>
          <w:rFonts w:ascii="Consolas" w:hAnsi="Consolas" w:cs="Consolas" w:eastAsia="Consolas"/>
          <w:color w:val="6B6A63"/>
          <w:sz w:val="17"/>
        </w:rPr>
        <w:t>Template by Market Intelligence Tools · marketintelligencetools.com/templates/equity-research-report/</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eastAsia="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Research Report Template</dc:title>
  <dc:subject/>
  <dc:creator>Market Intelligence Tools</dc:creator>
  <cp:keywords/>
  <dc:description>generated by python-docx</dc:description>
  <cp:lastModifiedBy/>
  <cp:revision>1</cp:revision>
  <dcterms:created xsi:type="dcterms:W3CDTF">2013-12-23T23:15:00Z</dcterms:created>
  <dcterms:modified xsi:type="dcterms:W3CDTF">2013-12-23T23:15:00Z</dcterms:modified>
  <cp:category/>
</cp:coreProperties>
</file>