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Consolas" w:hAnsi="Consolas" w:cs="Consolas" w:eastAsia="Consolas"/>
          <w:b/>
          <w:color w:val="FFFFFF"/>
          <w:sz w:val="20"/>
          <w:shd w:val="clear" w:fill="17181B"/>
        </w:rPr>
        <w:t xml:space="preserve"> MI </w:t>
      </w:r>
      <w:r>
        <w:rPr>
          <w:rFonts w:ascii="Consolas" w:hAnsi="Consolas" w:cs="Consolas" w:eastAsia="Consolas"/>
          <w:b/>
          <w:color w:val="17181B"/>
          <w:sz w:val="20"/>
        </w:rPr>
        <w:t xml:space="preserve">  MARKET INTELLIGENCE TOOLS</w:t>
      </w:r>
      <w:r>
        <w:rPr>
          <w:rFonts w:ascii="Consolas" w:hAnsi="Consolas" w:cs="Consolas" w:eastAsia="Consolas"/>
          <w:color w:val="6B6A63"/>
          <w:sz w:val="18"/>
        </w:rPr>
        <w:t xml:space="preserve">   ·   marketintelligencetools.com/templates/</w:t>
      </w:r>
    </w:p>
    <w:p>
      <w:pPr>
        <w:spacing w:after="40"/>
      </w:pPr>
    </w:p>
    <w:p>
      <w:pPr>
        <w:spacing w:after="80"/>
      </w:pPr>
      <w:r>
        <w:rPr>
          <w:rFonts w:ascii="Georgia" w:hAnsi="Georgia" w:cs="Georgia" w:eastAsia="Georgia"/>
          <w:b/>
          <w:color w:val="17181B"/>
          <w:sz w:val="52"/>
        </w:rPr>
        <w:t>Feasibility Study Report</w:t>
      </w:r>
    </w:p>
    <w:p>
      <w:pPr>
        <w:spacing w:after="120"/>
      </w:pPr>
      <w:r>
        <w:rPr>
          <w:rFonts w:ascii="Georgia" w:hAnsi="Georgia" w:cs="Georgia" w:eastAsia="Georgia"/>
          <w:i/>
          <w:color w:val="6B6A63"/>
          <w:sz w:val="22"/>
        </w:rPr>
        <w:t>Nine sections, in the order ProjectManagementDocs' template uses, regrouped around the five feasibility dimensions. Italic text is the worked example (Larkfield Software, a fictional company); replace it with your own project. Write section 1 last and present it first. Figures come from feasibility-analysis-template.xlsx.</w:t>
      </w:r>
    </w:p>
    <w:p>
      <w:pPr>
        <w:keepNext/>
        <w:spacing w:after="80" w:before="280"/>
      </w:pPr>
      <w:r>
        <w:rPr>
          <w:rFonts w:ascii="Georgia" w:hAnsi="Georgia" w:cs="Georgia" w:eastAsia="Georgia"/>
          <w:b/>
          <w:color w:val="17181B"/>
          <w:sz w:val="30"/>
        </w:rPr>
        <w:t>1. Executive summary</w:t>
      </w:r>
    </w:p>
    <w:p>
      <w:pPr>
        <w:spacing w:after="120"/>
      </w:pPr>
      <w:r>
        <w:rPr>
          <w:rFonts w:ascii="Georgia" w:hAnsi="Georgia" w:cs="Georgia" w:eastAsia="Georgia"/>
          <w:i/>
          <w:color w:val="6B6A63"/>
          <w:sz w:val="22"/>
        </w:rPr>
        <w:t>The one page most stakeholders read. State the verdict, the NPV, the payback period, the top two risks and the condition attached to a go. Include nothing the later sections don't prove.</w:t>
      </w:r>
    </w:p>
    <w:tbl>
      <w:tblPr>
        <w:tblStyle w:val="TableGrid"/>
        <w:tblW w:type="auto" w:w="0"/>
        <w:tblLayout w:type="fixed"/>
        <w:tblLook w:firstColumn="1" w:firstRow="1" w:lastColumn="0" w:lastRow="0" w:noHBand="0" w:noVBand="1" w:val="04A0"/>
      </w:tblPr>
      <w:tblGrid>
        <w:gridCol w:w="2880"/>
        <w:gridCol w:w="7200"/>
      </w:tblGrid>
      <w:tr>
        <w:tc>
          <w:tcPr>
            <w:tcW w:type="dxa" w:w="2880"/>
            <w:shd w:val="clear" w:fill="17181B"/>
          </w:tcPr>
          <w:p>
            <w:r/>
            <w:r>
              <w:rPr>
                <w:rFonts w:ascii="Consolas" w:hAnsi="Consolas" w:cs="Consolas" w:eastAsia="Consolas"/>
                <w:b/>
                <w:i w:val="0"/>
                <w:color w:val="FFFFFF"/>
                <w:sz w:val="18"/>
              </w:rPr>
              <w:t>ITEM</w:t>
            </w:r>
          </w:p>
        </w:tc>
        <w:tc>
          <w:tcPr>
            <w:tcW w:type="dxa" w:w="7200"/>
            <w:shd w:val="clear" w:fill="17181B"/>
          </w:tcPr>
          <w:p>
            <w:r/>
            <w:r>
              <w:rPr>
                <w:rFonts w:ascii="Consolas" w:hAnsi="Consolas" w:cs="Consolas" w:eastAsia="Consolas"/>
                <w:b/>
                <w:i w:val="0"/>
                <w:color w:val="FFFFFF"/>
                <w:sz w:val="18"/>
              </w:rPr>
              <w:t>FINDING</w:t>
            </w:r>
          </w:p>
        </w:tc>
      </w:tr>
      <w:tr>
        <w:tc>
          <w:tcPr>
            <w:tcW w:type="dxa" w:w="2880"/>
          </w:tcPr>
          <w:p>
            <w:r/>
            <w:r>
              <w:rPr>
                <w:rFonts w:ascii="Georgia" w:hAnsi="Georgia" w:cs="Georgia" w:eastAsia="Georgia"/>
                <w:b w:val="0"/>
                <w:i/>
                <w:color w:val="6B6A63"/>
                <w:sz w:val="20"/>
              </w:rPr>
              <w:t>Verdict</w:t>
            </w:r>
          </w:p>
        </w:tc>
        <w:tc>
          <w:tcPr>
            <w:tcW w:type="dxa" w:w="7200"/>
          </w:tcPr>
          <w:p>
            <w:r/>
            <w:r>
              <w:rPr>
                <w:rFonts w:ascii="Georgia" w:hAnsi="Georgia" w:cs="Georgia" w:eastAsia="Georgia"/>
                <w:b w:val="0"/>
                <w:i/>
                <w:color w:val="6B6A63"/>
                <w:sz w:val="20"/>
              </w:rPr>
              <w:t>Conditional go (weighted score 3.60 of 5)</w:t>
            </w:r>
          </w:p>
        </w:tc>
      </w:tr>
      <w:tr>
        <w:tc>
          <w:tcPr>
            <w:tcW w:type="dxa" w:w="2880"/>
          </w:tcPr>
          <w:p>
            <w:r/>
            <w:r>
              <w:rPr>
                <w:rFonts w:ascii="Georgia" w:hAnsi="Georgia" w:cs="Georgia" w:eastAsia="Georgia"/>
                <w:b w:val="0"/>
                <w:i/>
                <w:color w:val="6B6A63"/>
                <w:sz w:val="20"/>
              </w:rPr>
              <w:t>NPV at 10%</w:t>
            </w:r>
          </w:p>
        </w:tc>
        <w:tc>
          <w:tcPr>
            <w:tcW w:type="dxa" w:w="7200"/>
          </w:tcPr>
          <w:p>
            <w:r/>
            <w:r>
              <w:rPr>
                <w:rFonts w:ascii="Georgia" w:hAnsi="Georgia" w:cs="Georgia" w:eastAsia="Georgia"/>
                <w:b w:val="0"/>
                <w:i/>
                <w:color w:val="6B6A63"/>
                <w:sz w:val="20"/>
              </w:rPr>
              <w:t>$53,858</w:t>
            </w:r>
          </w:p>
        </w:tc>
      </w:tr>
      <w:tr>
        <w:tc>
          <w:tcPr>
            <w:tcW w:type="dxa" w:w="2880"/>
          </w:tcPr>
          <w:p>
            <w:r/>
            <w:r>
              <w:rPr>
                <w:rFonts w:ascii="Georgia" w:hAnsi="Georgia" w:cs="Georgia" w:eastAsia="Georgia"/>
                <w:b w:val="0"/>
                <w:i/>
                <w:color w:val="6B6A63"/>
                <w:sz w:val="20"/>
              </w:rPr>
              <w:t>Payback period</w:t>
            </w:r>
          </w:p>
        </w:tc>
        <w:tc>
          <w:tcPr>
            <w:tcW w:type="dxa" w:w="7200"/>
          </w:tcPr>
          <w:p>
            <w:r/>
            <w:r>
              <w:rPr>
                <w:rFonts w:ascii="Georgia" w:hAnsi="Georgia" w:cs="Georgia" w:eastAsia="Georgia"/>
                <w:b w:val="0"/>
                <w:i/>
                <w:color w:val="6B6A63"/>
                <w:sz w:val="20"/>
              </w:rPr>
              <w:t>2.5 years</w:t>
            </w:r>
          </w:p>
        </w:tc>
      </w:tr>
      <w:tr>
        <w:tc>
          <w:tcPr>
            <w:tcW w:type="dxa" w:w="2880"/>
          </w:tcPr>
          <w:p>
            <w:r/>
            <w:r>
              <w:rPr>
                <w:rFonts w:ascii="Georgia" w:hAnsi="Georgia" w:cs="Georgia" w:eastAsia="Georgia"/>
                <w:b w:val="0"/>
                <w:i/>
                <w:color w:val="6B6A63"/>
                <w:sz w:val="20"/>
              </w:rPr>
              <w:t>Three-year cumulative net / ROI</w:t>
            </w:r>
          </w:p>
        </w:tc>
        <w:tc>
          <w:tcPr>
            <w:tcW w:type="dxa" w:w="7200"/>
          </w:tcPr>
          <w:p>
            <w:r/>
            <w:r>
              <w:rPr>
                <w:rFonts w:ascii="Georgia" w:hAnsi="Georgia" w:cs="Georgia" w:eastAsia="Georgia"/>
                <w:b w:val="0"/>
                <w:i/>
                <w:color w:val="6B6A63"/>
                <w:sz w:val="20"/>
              </w:rPr>
              <w:t>$131,460 / 73%</w:t>
            </w:r>
          </w:p>
        </w:tc>
      </w:tr>
      <w:tr>
        <w:tc>
          <w:tcPr>
            <w:tcW w:type="dxa" w:w="2880"/>
          </w:tcPr>
          <w:p>
            <w:r/>
            <w:r>
              <w:rPr>
                <w:rFonts w:ascii="Georgia" w:hAnsi="Georgia" w:cs="Georgia" w:eastAsia="Georgia"/>
                <w:b w:val="0"/>
                <w:i/>
                <w:color w:val="6B6A63"/>
                <w:sz w:val="20"/>
              </w:rPr>
              <w:t>Top two risks</w:t>
            </w:r>
          </w:p>
        </w:tc>
        <w:tc>
          <w:tcPr>
            <w:tcW w:type="dxa" w:w="7200"/>
          </w:tcPr>
          <w:p>
            <w:r/>
            <w:r>
              <w:rPr>
                <w:rFonts w:ascii="Georgia" w:hAnsi="Georgia" w:cs="Georgia" w:eastAsia="Georgia"/>
                <w:b w:val="0"/>
                <w:i/>
                <w:color w:val="6B6A63"/>
                <w:sz w:val="20"/>
              </w:rPr>
              <w:t>Demand below plan in year one (score 12); support load outgrows one hire (score 9)</w:t>
            </w:r>
          </w:p>
        </w:tc>
      </w:tr>
      <w:tr>
        <w:tc>
          <w:tcPr>
            <w:tcW w:type="dxa" w:w="2880"/>
          </w:tcPr>
          <w:p>
            <w:r/>
            <w:r>
              <w:rPr>
                <w:rFonts w:ascii="Georgia" w:hAnsi="Georgia" w:cs="Georgia" w:eastAsia="Georgia"/>
                <w:b w:val="0"/>
                <w:i/>
                <w:color w:val="6B6A63"/>
                <w:sz w:val="20"/>
              </w:rPr>
              <w:t>Condition</w:t>
            </w:r>
          </w:p>
        </w:tc>
        <w:tc>
          <w:tcPr>
            <w:tcW w:type="dxa" w:w="7200"/>
          </w:tcPr>
          <w:p>
            <w:r/>
            <w:r>
              <w:rPr>
                <w:rFonts w:ascii="Georgia" w:hAnsi="Georgia" w:cs="Georgia" w:eastAsia="Georgia"/>
                <w:b w:val="0"/>
                <w:i/>
                <w:color w:val="6B6A63"/>
                <w:sz w:val="20"/>
              </w:rPr>
              <w:t>A 90-day pilot must reach 100 paying accounts before the $35,000 of launch funding is released</w:t>
            </w:r>
          </w:p>
        </w:tc>
      </w:tr>
    </w:tbl>
    <w:p>
      <w:pPr>
        <w:spacing w:after="80"/>
      </w:pPr>
    </w:p>
    <w:p>
      <w:pPr>
        <w:spacing w:after="120"/>
      </w:pPr>
      <w:r>
        <w:rPr>
          <w:rFonts w:ascii="Georgia" w:hAnsi="Georgia" w:cs="Georgia" w:eastAsia="Georgia"/>
          <w:i/>
          <w:color w:val="6B6A63"/>
          <w:sz w:val="21"/>
        </w:rPr>
        <w:t>Larkfield's $49-a-month self-serve tier clears the 10% hurdle on its base case, but every downside case in the sensitivity analysis turns NPV negative, and break-even sits at 91.1% of planned demand. Approve the build and billing spend; hold the launch budget behind the pilot gate.</w:t>
      </w:r>
    </w:p>
    <w:p>
      <w:pPr>
        <w:keepNext/>
        <w:spacing w:after="80" w:before="280"/>
      </w:pPr>
      <w:r>
        <w:rPr>
          <w:rFonts w:ascii="Georgia" w:hAnsi="Georgia" w:cs="Georgia" w:eastAsia="Georgia"/>
          <w:b/>
          <w:color w:val="17181B"/>
          <w:sz w:val="30"/>
        </w:rPr>
        <w:t>2. Project description and objectives</w:t>
      </w:r>
    </w:p>
    <w:p>
      <w:pPr>
        <w:spacing w:after="120"/>
      </w:pPr>
      <w:r>
        <w:rPr>
          <w:rFonts w:ascii="Georgia" w:hAnsi="Georgia" w:cs="Georgia" w:eastAsia="Georgia"/>
          <w:i/>
          <w:color w:val="6B6A63"/>
          <w:sz w:val="22"/>
        </w:rPr>
        <w:t>Two sentences on the proposed project, its scope and the problem it solves, then the objectives and the kill criteria. Write the no-go line before gathering data.</w:t>
      </w:r>
    </w:p>
    <w:tbl>
      <w:tblPr>
        <w:tblStyle w:val="TableGrid"/>
        <w:tblW w:type="auto" w:w="0"/>
        <w:tblLayout w:type="fixed"/>
        <w:tblLook w:firstColumn="1" w:firstRow="1" w:lastColumn="0" w:lastRow="0" w:noHBand="0" w:noVBand="1" w:val="04A0"/>
      </w:tblPr>
      <w:tblGrid>
        <w:gridCol w:w="2880"/>
        <w:gridCol w:w="7200"/>
      </w:tblGrid>
      <w:tr>
        <w:tc>
          <w:tcPr>
            <w:tcW w:type="dxa" w:w="2880"/>
            <w:shd w:val="clear" w:fill="17181B"/>
          </w:tcPr>
          <w:p>
            <w:r/>
            <w:r>
              <w:rPr>
                <w:rFonts w:ascii="Consolas" w:hAnsi="Consolas" w:cs="Consolas" w:eastAsia="Consolas"/>
                <w:b/>
                <w:i w:val="0"/>
                <w:color w:val="FFFFFF"/>
                <w:sz w:val="18"/>
              </w:rPr>
              <w:t>FIELD</w:t>
            </w:r>
          </w:p>
        </w:tc>
        <w:tc>
          <w:tcPr>
            <w:tcW w:type="dxa" w:w="7200"/>
            <w:shd w:val="clear" w:fill="17181B"/>
          </w:tcPr>
          <w:p>
            <w:r/>
            <w:r>
              <w:rPr>
                <w:rFonts w:ascii="Consolas" w:hAnsi="Consolas" w:cs="Consolas" w:eastAsia="Consolas"/>
                <w:b/>
                <w:i w:val="0"/>
                <w:color w:val="FFFFFF"/>
                <w:sz w:val="18"/>
              </w:rPr>
              <w:t>DETAIL</w:t>
            </w:r>
          </w:p>
        </w:tc>
      </w:tr>
      <w:tr>
        <w:tc>
          <w:tcPr>
            <w:tcW w:type="dxa" w:w="2880"/>
          </w:tcPr>
          <w:p>
            <w:r/>
            <w:r>
              <w:rPr>
                <w:rFonts w:ascii="Georgia" w:hAnsi="Georgia" w:cs="Georgia" w:eastAsia="Georgia"/>
                <w:b w:val="0"/>
                <w:i/>
                <w:color w:val="6B6A63"/>
                <w:sz w:val="20"/>
              </w:rPr>
              <w:t>Company</w:t>
            </w:r>
          </w:p>
        </w:tc>
        <w:tc>
          <w:tcPr>
            <w:tcW w:type="dxa" w:w="7200"/>
          </w:tcPr>
          <w:p>
            <w:r/>
            <w:r>
              <w:rPr>
                <w:rFonts w:ascii="Georgia" w:hAnsi="Georgia" w:cs="Georgia" w:eastAsia="Georgia"/>
                <w:b w:val="0"/>
                <w:i/>
                <w:color w:val="6B6A63"/>
                <w:sz w:val="20"/>
              </w:rPr>
              <w:t>Larkfield Software: 45 people, reporting tool for mid-size marketing teams at $299 a month</w:t>
            </w:r>
          </w:p>
        </w:tc>
      </w:tr>
      <w:tr>
        <w:tc>
          <w:tcPr>
            <w:tcW w:type="dxa" w:w="2880"/>
          </w:tcPr>
          <w:p>
            <w:r/>
            <w:r>
              <w:rPr>
                <w:rFonts w:ascii="Georgia" w:hAnsi="Georgia" w:cs="Georgia" w:eastAsia="Georgia"/>
                <w:b w:val="0"/>
                <w:i/>
                <w:color w:val="6B6A63"/>
                <w:sz w:val="20"/>
              </w:rPr>
              <w:t>Proposed project</w:t>
            </w:r>
          </w:p>
        </w:tc>
        <w:tc>
          <w:tcPr>
            <w:tcW w:type="dxa" w:w="7200"/>
          </w:tcPr>
          <w:p>
            <w:r/>
            <w:r>
              <w:rPr>
                <w:rFonts w:ascii="Georgia" w:hAnsi="Georgia" w:cs="Georgia" w:eastAsia="Georgia"/>
                <w:b w:val="0"/>
                <w:i/>
                <w:color w:val="6B6A63"/>
                <w:sz w:val="20"/>
              </w:rPr>
              <w:t>A $49-a-month self-serve tier for agencies with fewer than 20 staff, a new product line</w:t>
            </w:r>
          </w:p>
        </w:tc>
      </w:tr>
      <w:tr>
        <w:tc>
          <w:tcPr>
            <w:tcW w:type="dxa" w:w="2880"/>
          </w:tcPr>
          <w:p>
            <w:r/>
            <w:r>
              <w:rPr>
                <w:rFonts w:ascii="Georgia" w:hAnsi="Georgia" w:cs="Georgia" w:eastAsia="Georgia"/>
                <w:b w:val="0"/>
                <w:i/>
                <w:color w:val="6B6A63"/>
                <w:sz w:val="20"/>
              </w:rPr>
              <w:t>Scope</w:t>
            </w:r>
          </w:p>
        </w:tc>
        <w:tc>
          <w:tcPr>
            <w:tcW w:type="dxa" w:w="7200"/>
          </w:tcPr>
          <w:p>
            <w:r/>
            <w:r>
              <w:rPr>
                <w:rFonts w:ascii="Georgia" w:hAnsi="Georgia" w:cs="Georgia" w:eastAsia="Georgia"/>
                <w:b w:val="0"/>
                <w:i/>
                <w:color w:val="6B6A63"/>
                <w:sz w:val="20"/>
              </w:rPr>
              <w:t>Self-serve onboarding flow and card billing, reusing the existing reporting engine</w:t>
            </w:r>
          </w:p>
        </w:tc>
      </w:tr>
      <w:tr>
        <w:tc>
          <w:tcPr>
            <w:tcW w:type="dxa" w:w="2880"/>
          </w:tcPr>
          <w:p>
            <w:r/>
            <w:r>
              <w:rPr>
                <w:rFonts w:ascii="Georgia" w:hAnsi="Georgia" w:cs="Georgia" w:eastAsia="Georgia"/>
                <w:b w:val="0"/>
                <w:i/>
                <w:color w:val="6B6A63"/>
                <w:sz w:val="20"/>
              </w:rPr>
              <w:t>Initial investment</w:t>
            </w:r>
          </w:p>
        </w:tc>
        <w:tc>
          <w:tcPr>
            <w:tcW w:type="dxa" w:w="7200"/>
          </w:tcPr>
          <w:p>
            <w:r/>
            <w:r>
              <w:rPr>
                <w:rFonts w:ascii="Georgia" w:hAnsi="Georgia" w:cs="Georgia" w:eastAsia="Georgia"/>
                <w:b w:val="0"/>
                <w:i/>
                <w:color w:val="6B6A63"/>
                <w:sz w:val="20"/>
              </w:rPr>
              <w:t>$180,000: $120,000 build, $25,000 billing, tax and compliance setup, $35,000 launch marketing</w:t>
            </w:r>
          </w:p>
        </w:tc>
      </w:tr>
      <w:tr>
        <w:tc>
          <w:tcPr>
            <w:tcW w:type="dxa" w:w="2880"/>
          </w:tcPr>
          <w:p>
            <w:r/>
            <w:r>
              <w:rPr>
                <w:rFonts w:ascii="Georgia" w:hAnsi="Georgia" w:cs="Georgia" w:eastAsia="Georgia"/>
                <w:b w:val="0"/>
                <w:i/>
                <w:color w:val="6B6A63"/>
                <w:sz w:val="20"/>
              </w:rPr>
              <w:t>Revenue objective</w:t>
            </w:r>
          </w:p>
        </w:tc>
        <w:tc>
          <w:tcPr>
            <w:tcW w:type="dxa" w:w="7200"/>
          </w:tcPr>
          <w:p>
            <w:r/>
            <w:r>
              <w:rPr>
                <w:rFonts w:ascii="Georgia" w:hAnsi="Georgia" w:cs="Georgia" w:eastAsia="Georgia"/>
                <w:b w:val="0"/>
                <w:i/>
                <w:color w:val="6B6A63"/>
                <w:sz w:val="20"/>
              </w:rPr>
              <w:t>$588,000 revenue in year 3</w:t>
            </w:r>
          </w:p>
        </w:tc>
      </w:tr>
      <w:tr>
        <w:tc>
          <w:tcPr>
            <w:tcW w:type="dxa" w:w="2880"/>
          </w:tcPr>
          <w:p>
            <w:r/>
            <w:r>
              <w:rPr>
                <w:rFonts w:ascii="Georgia" w:hAnsi="Georgia" w:cs="Georgia" w:eastAsia="Georgia"/>
                <w:b w:val="0"/>
                <w:i/>
                <w:color w:val="6B6A63"/>
                <w:sz w:val="20"/>
              </w:rPr>
              <w:t>Adoption objective</w:t>
            </w:r>
          </w:p>
        </w:tc>
        <w:tc>
          <w:tcPr>
            <w:tcW w:type="dxa" w:w="7200"/>
          </w:tcPr>
          <w:p>
            <w:r/>
            <w:r>
              <w:rPr>
                <w:rFonts w:ascii="Georgia" w:hAnsi="Georgia" w:cs="Georgia" w:eastAsia="Georgia"/>
                <w:b w:val="0"/>
                <w:i/>
                <w:color w:val="6B6A63"/>
                <w:sz w:val="20"/>
              </w:rPr>
              <w:t>1,000 average paying accounts in year 3</w:t>
            </w:r>
          </w:p>
        </w:tc>
      </w:tr>
      <w:tr>
        <w:tc>
          <w:tcPr>
            <w:tcW w:type="dxa" w:w="2880"/>
          </w:tcPr>
          <w:p>
            <w:r/>
            <w:r>
              <w:rPr>
                <w:rFonts w:ascii="Georgia" w:hAnsi="Georgia" w:cs="Georgia" w:eastAsia="Georgia"/>
                <w:b w:val="0"/>
                <w:i/>
                <w:color w:val="6B6A63"/>
                <w:sz w:val="20"/>
              </w:rPr>
              <w:t>Kill criteria</w:t>
            </w:r>
          </w:p>
        </w:tc>
        <w:tc>
          <w:tcPr>
            <w:tcW w:type="dxa" w:w="7200"/>
          </w:tcPr>
          <w:p>
            <w:r/>
            <w:r>
              <w:rPr>
                <w:rFonts w:ascii="Georgia" w:hAnsi="Georgia" w:cs="Georgia" w:eastAsia="Georgia"/>
                <w:b w:val="0"/>
                <w:i/>
                <w:color w:val="6B6A63"/>
                <w:sz w:val="20"/>
              </w:rPr>
              <w:t>Fewer than 100 paying accounts at the end of a 90-day pilot; base-case NPV at 10% below zero</w:t>
            </w:r>
          </w:p>
        </w:tc>
      </w:tr>
    </w:tbl>
    <w:p>
      <w:pPr>
        <w:spacing w:after="80"/>
      </w:pPr>
    </w:p>
    <w:p>
      <w:pPr>
        <w:keepNext/>
        <w:spacing w:after="80" w:before="280"/>
      </w:pPr>
      <w:r>
        <w:rPr>
          <w:rFonts w:ascii="Georgia" w:hAnsi="Georgia" w:cs="Georgia" w:eastAsia="Georgia"/>
          <w:b/>
          <w:color w:val="17181B"/>
          <w:sz w:val="30"/>
        </w:rPr>
        <w:t>3. Market assessment</w:t>
      </w:r>
    </w:p>
    <w:p>
      <w:pPr>
        <w:spacing w:after="120"/>
      </w:pPr>
      <w:r>
        <w:rPr>
          <w:rFonts w:ascii="Georgia" w:hAnsi="Georgia" w:cs="Georgia" w:eastAsia="Georgia"/>
          <w:i/>
          <w:color w:val="6B6A63"/>
          <w:sz w:val="22"/>
        </w:rPr>
        <w:t>Size the target market from the bottom up, list competitors and their prices, and record the evidence of customer need. Cover the marketing strategy and target audience. Start from the low estimate.</w:t>
      </w:r>
    </w:p>
    <w:p>
      <w:pPr>
        <w:spacing w:after="120"/>
      </w:pPr>
      <w:r>
        <w:rPr>
          <w:rFonts w:ascii="Georgia" w:hAnsi="Georgia" w:cs="Georgia" w:eastAsia="Georgia"/>
          <w:b/>
          <w:i/>
          <w:color w:val="17181B"/>
          <w:sz w:val="21"/>
        </w:rPr>
        <w:t xml:space="preserve">Target audience: </w:t>
      </w:r>
      <w:r>
        <w:rPr>
          <w:rFonts w:ascii="Georgia" w:hAnsi="Georgia" w:cs="Georgia" w:eastAsia="Georgia"/>
          <w:i/>
          <w:color w:val="6B6A63"/>
          <w:sz w:val="21"/>
        </w:rPr>
        <w:t>Agencies with fewer than 20 staff that run monthly client reporting.</w:t>
      </w:r>
    </w:p>
    <w:p>
      <w:pPr>
        <w:spacing w:after="120"/>
      </w:pPr>
      <w:r>
        <w:rPr>
          <w:rFonts w:ascii="Georgia" w:hAnsi="Georgia" w:cs="Georgia" w:eastAsia="Georgia"/>
          <w:b/>
          <w:i/>
          <w:color w:val="17181B"/>
          <w:sz w:val="21"/>
        </w:rPr>
        <w:t xml:space="preserve">Competitors and pricing: </w:t>
      </w:r>
      <w:r>
        <w:rPr>
          <w:rFonts w:ascii="Georgia" w:hAnsi="Georgia" w:cs="Georgia" w:eastAsia="Georgia"/>
          <w:i/>
          <w:color w:val="6B6A63"/>
          <w:sz w:val="21"/>
        </w:rPr>
        <w:t>Rivals charge $39 to $79 a month; $49 sits in the lower half of that band.</w:t>
      </w:r>
    </w:p>
    <w:p>
      <w:pPr>
        <w:spacing w:after="120"/>
      </w:pPr>
      <w:r>
        <w:rPr>
          <w:rFonts w:ascii="Georgia" w:hAnsi="Georgia" w:cs="Georgia" w:eastAsia="Georgia"/>
          <w:b/>
          <w:i/>
          <w:color w:val="17181B"/>
          <w:sz w:val="21"/>
        </w:rPr>
        <w:t xml:space="preserve">Evidence of demand: </w:t>
      </w:r>
      <w:r>
        <w:rPr>
          <w:rFonts w:ascii="Georgia" w:hAnsi="Georgia" w:cs="Georgia" w:eastAsia="Georgia"/>
          <w:i/>
          <w:color w:val="6B6A63"/>
          <w:sz w:val="21"/>
        </w:rPr>
        <w:t>14 of 20 agencies interviewed named the reporting pain unprompted.</w:t>
      </w:r>
    </w:p>
    <w:p>
      <w:pPr>
        <w:spacing w:after="120"/>
      </w:pPr>
      <w:r>
        <w:rPr>
          <w:rFonts w:ascii="Georgia" w:hAnsi="Georgia" w:cs="Georgia" w:eastAsia="Georgia"/>
          <w:b/>
          <w:i/>
          <w:color w:val="17181B"/>
          <w:sz w:val="21"/>
        </w:rPr>
        <w:t xml:space="preserve">Demand plan: </w:t>
      </w:r>
      <w:r>
        <w:rPr>
          <w:rFonts w:ascii="Georgia" w:hAnsi="Georgia" w:cs="Georgia" w:eastAsia="Georgia"/>
          <w:i/>
          <w:color w:val="6B6A63"/>
          <w:sz w:val="21"/>
        </w:rPr>
        <w:t>250 average paying accounts in year one, 600 in year two and 1,000 in year three.</w:t>
      </w:r>
    </w:p>
    <w:p>
      <w:pPr>
        <w:spacing w:after="120"/>
      </w:pPr>
      <w:r>
        <w:rPr>
          <w:rFonts w:ascii="Georgia" w:hAnsi="Georgia" w:cs="Georgia" w:eastAsia="Georgia"/>
          <w:b/>
          <w:i/>
          <w:color w:val="17181B"/>
          <w:sz w:val="21"/>
        </w:rPr>
        <w:t xml:space="preserve">Marketing strategy: </w:t>
      </w:r>
      <w:r>
        <w:rPr>
          <w:rFonts w:ascii="Georgia" w:hAnsi="Georgia" w:cs="Georgia" w:eastAsia="Georgia"/>
          <w:i/>
          <w:color w:val="6B6A63"/>
          <w:sz w:val="21"/>
        </w:rPr>
        <w:t>Self-serve sign-up with a $35,000 launch marketing budget, released only after the pilot gate.</w:t>
      </w:r>
    </w:p>
    <w:p>
      <w:pPr>
        <w:spacing w:after="120"/>
      </w:pPr>
      <w:r>
        <w:rPr>
          <w:rFonts w:ascii="Georgia" w:hAnsi="Georgia" w:cs="Georgia" w:eastAsia="Georgia"/>
          <w:b/>
          <w:i/>
          <w:color w:val="17181B"/>
          <w:sz w:val="21"/>
        </w:rPr>
        <w:t xml:space="preserve">Market score: </w:t>
      </w:r>
      <w:r>
        <w:rPr>
          <w:rFonts w:ascii="Georgia" w:hAnsi="Georgia" w:cs="Georgia" w:eastAsia="Georgia"/>
          <w:i/>
          <w:color w:val="6B6A63"/>
          <w:sz w:val="21"/>
        </w:rPr>
        <w:t>4 of 5, weight 30%.</w:t>
      </w:r>
    </w:p>
    <w:p>
      <w:pPr>
        <w:keepNext/>
        <w:spacing w:after="80" w:before="280"/>
      </w:pPr>
      <w:r>
        <w:rPr>
          <w:rFonts w:ascii="Georgia" w:hAnsi="Georgia" w:cs="Georgia" w:eastAsia="Georgia"/>
          <w:b/>
          <w:color w:val="17181B"/>
          <w:sz w:val="30"/>
        </w:rPr>
        <w:t>4. Technical feasibility</w:t>
      </w:r>
    </w:p>
    <w:p>
      <w:pPr>
        <w:spacing w:after="120"/>
      </w:pPr>
      <w:r>
        <w:rPr>
          <w:rFonts w:ascii="Georgia" w:hAnsi="Georgia" w:cs="Georgia" w:eastAsia="Georgia"/>
          <w:i/>
          <w:color w:val="6B6A63"/>
          <w:sz w:val="22"/>
        </w:rPr>
        <w:t>What has to be built or bought, the skills the team lacks, where external help comes in, and a date on each milestone. Schedule feasibility sits here.</w:t>
      </w:r>
    </w:p>
    <w:p>
      <w:pPr>
        <w:spacing w:after="120"/>
      </w:pPr>
      <w:r>
        <w:rPr>
          <w:rFonts w:ascii="Georgia" w:hAnsi="Georgia" w:cs="Georgia" w:eastAsia="Georgia"/>
          <w:i/>
          <w:color w:val="6B6A63"/>
          <w:sz w:val="21"/>
        </w:rPr>
        <w:t>Onboarding reuses the existing reporting engine. New work: a self-serve onboarding flow and card billing, a four-month build costing $120,000. First release is fixed-scope; features get cut before dates move.</w:t>
      </w:r>
    </w:p>
    <w:p>
      <w:pPr>
        <w:spacing w:after="120"/>
      </w:pPr>
      <w:r>
        <w:rPr>
          <w:rFonts w:ascii="Georgia" w:hAnsi="Georgia" w:cs="Georgia" w:eastAsia="Georgia"/>
          <w:b/>
          <w:i/>
          <w:color w:val="17181B"/>
          <w:sz w:val="21"/>
        </w:rPr>
        <w:t xml:space="preserve">Technical score: </w:t>
      </w:r>
      <w:r>
        <w:rPr>
          <w:rFonts w:ascii="Georgia" w:hAnsi="Georgia" w:cs="Georgia" w:eastAsia="Georgia"/>
          <w:i/>
          <w:color w:val="6B6A63"/>
          <w:sz w:val="21"/>
        </w:rPr>
        <w:t>4 of 5, weight 20%.</w:t>
      </w:r>
    </w:p>
    <w:p>
      <w:pPr>
        <w:keepNext/>
        <w:spacing w:after="80" w:before="280"/>
      </w:pPr>
      <w:r>
        <w:rPr>
          <w:rFonts w:ascii="Georgia" w:hAnsi="Georgia" w:cs="Georgia" w:eastAsia="Georgia"/>
          <w:b/>
          <w:color w:val="17181B"/>
          <w:sz w:val="30"/>
        </w:rPr>
        <w:t>5. Operational feasibility</w:t>
      </w:r>
    </w:p>
    <w:p>
      <w:pPr>
        <w:spacing w:after="120"/>
      </w:pPr>
      <w:r>
        <w:rPr>
          <w:rFonts w:ascii="Georgia" w:hAnsi="Georgia" w:cs="Georgia" w:eastAsia="Georgia"/>
          <w:i/>
          <w:color w:val="6B6A63"/>
          <w:sz w:val="22"/>
        </w:rPr>
        <w:t>The organizational structure after launch: who supports the product, who sells it, and the staffing requirements that follow.</w:t>
      </w:r>
    </w:p>
    <w:p>
      <w:pPr>
        <w:spacing w:after="120"/>
      </w:pPr>
      <w:r>
        <w:rPr>
          <w:rFonts w:ascii="Georgia" w:hAnsi="Georgia" w:cs="Georgia" w:eastAsia="Georgia"/>
          <w:i/>
          <w:color w:val="6B6A63"/>
          <w:sz w:val="21"/>
        </w:rPr>
        <w:t>The tier needs one support hire, and there is no help centre yet. A help centre and in-app guides get built before launch so one hire can carry the support load.</w:t>
      </w:r>
    </w:p>
    <w:p>
      <w:pPr>
        <w:spacing w:after="120"/>
      </w:pPr>
      <w:r>
        <w:rPr>
          <w:rFonts w:ascii="Georgia" w:hAnsi="Georgia" w:cs="Georgia" w:eastAsia="Georgia"/>
          <w:b/>
          <w:i/>
          <w:color w:val="17181B"/>
          <w:sz w:val="21"/>
        </w:rPr>
        <w:t xml:space="preserve">Operational score: </w:t>
      </w:r>
      <w:r>
        <w:rPr>
          <w:rFonts w:ascii="Georgia" w:hAnsi="Georgia" w:cs="Georgia" w:eastAsia="Georgia"/>
          <w:i/>
          <w:color w:val="6B6A63"/>
          <w:sz w:val="21"/>
        </w:rPr>
        <w:t>3 of 5, weight 15%.</w:t>
      </w:r>
    </w:p>
    <w:p>
      <w:pPr>
        <w:keepNext/>
        <w:spacing w:after="80" w:before="280"/>
      </w:pPr>
      <w:r>
        <w:rPr>
          <w:rFonts w:ascii="Georgia" w:hAnsi="Georgia" w:cs="Georgia" w:eastAsia="Georgia"/>
          <w:b/>
          <w:color w:val="17181B"/>
          <w:sz w:val="30"/>
        </w:rPr>
        <w:t>6. Legal and regulatory feasibility</w:t>
      </w:r>
    </w:p>
    <w:p>
      <w:pPr>
        <w:spacing w:after="120"/>
      </w:pPr>
      <w:r>
        <w:rPr>
          <w:rFonts w:ascii="Georgia" w:hAnsi="Georgia" w:cs="Georgia" w:eastAsia="Georgia"/>
          <w:i/>
          <w:color w:val="6B6A63"/>
          <w:sz w:val="22"/>
        </w:rPr>
        <w:t>Licenses, permits, data-protection rules, tax registration and contracts in every market you plan to enter.</w:t>
      </w:r>
    </w:p>
    <w:p>
      <w:pPr>
        <w:spacing w:after="120"/>
      </w:pPr>
      <w:r>
        <w:rPr>
          <w:rFonts w:ascii="Georgia" w:hAnsi="Georgia" w:cs="Georgia" w:eastAsia="Georgia"/>
          <w:i/>
          <w:color w:val="6B6A63"/>
          <w:sz w:val="21"/>
        </w:rPr>
        <w:t>Card billing in two countries needs VAT and sales-tax compliance. Billing runs through a merchant-of-record provider, and the $25,000 setup line covers billing, tax and compliance.</w:t>
      </w:r>
    </w:p>
    <w:p>
      <w:pPr>
        <w:spacing w:after="120"/>
      </w:pPr>
      <w:r>
        <w:rPr>
          <w:rFonts w:ascii="Georgia" w:hAnsi="Georgia" w:cs="Georgia" w:eastAsia="Georgia"/>
          <w:b/>
          <w:i/>
          <w:color w:val="17181B"/>
          <w:sz w:val="21"/>
        </w:rPr>
        <w:t xml:space="preserve">Legal score: </w:t>
      </w:r>
      <w:r>
        <w:rPr>
          <w:rFonts w:ascii="Georgia" w:hAnsi="Georgia" w:cs="Georgia" w:eastAsia="Georgia"/>
          <w:i/>
          <w:color w:val="6B6A63"/>
          <w:sz w:val="21"/>
        </w:rPr>
        <w:t>4 of 5, weight 10%.</w:t>
      </w:r>
    </w:p>
    <w:p>
      <w:pPr>
        <w:keepNext/>
        <w:spacing w:after="80" w:before="280"/>
      </w:pPr>
      <w:r>
        <w:rPr>
          <w:rFonts w:ascii="Georgia" w:hAnsi="Georgia" w:cs="Georgia" w:eastAsia="Georgia"/>
          <w:b/>
          <w:color w:val="17181B"/>
          <w:sz w:val="30"/>
        </w:rPr>
        <w:t>7. Financial feasibility</w:t>
      </w:r>
    </w:p>
    <w:p>
      <w:pPr>
        <w:spacing w:after="120"/>
      </w:pPr>
      <w:r>
        <w:rPr>
          <w:rFonts w:ascii="Georgia" w:hAnsi="Georgia" w:cs="Georgia" w:eastAsia="Georgia"/>
          <w:i/>
          <w:color w:val="6B6A63"/>
          <w:sz w:val="22"/>
        </w:rPr>
        <w:t>Financial projections, key assumptions and the sensitivity analysis. Year 0 sits outside Excel's NPV(): =NPV(10%,Y1:Y3)+Y0.</w:t>
      </w:r>
    </w:p>
    <w:p>
      <w:pPr>
        <w:spacing w:after="120"/>
      </w:pPr>
      <w:r>
        <w:rPr>
          <w:rFonts w:ascii="Georgia" w:hAnsi="Georgia" w:cs="Georgia" w:eastAsia="Georgia"/>
          <w:b/>
          <w:i/>
          <w:color w:val="17181B"/>
          <w:sz w:val="21"/>
        </w:rPr>
        <w:t xml:space="preserve">Key assumptions: </w:t>
      </w:r>
      <w:r>
        <w:rPr>
          <w:rFonts w:ascii="Georgia" w:hAnsi="Georgia" w:cs="Georgia" w:eastAsia="Georgia"/>
          <w:i/>
          <w:color w:val="6B6A63"/>
          <w:sz w:val="21"/>
        </w:rPr>
        <w:t>Price $49 a month; variable costs 30% of revenue; fixed costs $150,000 a year; discount rate 10%; initial investment $180,000.</w:t>
      </w:r>
    </w:p>
    <w:tbl>
      <w:tblPr>
        <w:tblStyle w:val="TableGrid"/>
        <w:tblW w:type="auto" w:w="0"/>
        <w:tblLayout w:type="fixed"/>
        <w:tblLook w:firstColumn="1" w:firstRow="1" w:lastColumn="0" w:lastRow="0" w:noHBand="0" w:noVBand="1" w:val="04A0"/>
      </w:tblPr>
      <w:tblGrid>
        <w:gridCol w:w="3744"/>
        <w:gridCol w:w="1584"/>
        <w:gridCol w:w="1584"/>
        <w:gridCol w:w="1584"/>
        <w:gridCol w:w="1584"/>
      </w:tblGrid>
      <w:tr>
        <w:tc>
          <w:tcPr>
            <w:tcW w:type="dxa" w:w="3744"/>
            <w:shd w:val="clear" w:fill="17181B"/>
          </w:tcPr>
          <w:p>
            <w:r/>
            <w:r>
              <w:rPr>
                <w:rFonts w:ascii="Consolas" w:hAnsi="Consolas" w:cs="Consolas" w:eastAsia="Consolas"/>
                <w:b/>
                <w:i w:val="0"/>
                <w:color w:val="FFFFFF"/>
                <w:sz w:val="18"/>
              </w:rPr>
              <w:t>LINE</w:t>
            </w:r>
          </w:p>
        </w:tc>
        <w:tc>
          <w:tcPr>
            <w:tcW w:type="dxa" w:w="1584"/>
            <w:shd w:val="clear" w:fill="17181B"/>
          </w:tcPr>
          <w:p>
            <w:r/>
            <w:r>
              <w:rPr>
                <w:rFonts w:ascii="Consolas" w:hAnsi="Consolas" w:cs="Consolas" w:eastAsia="Consolas"/>
                <w:b/>
                <w:i w:val="0"/>
                <w:color w:val="FFFFFF"/>
                <w:sz w:val="18"/>
              </w:rPr>
              <w:t>YEAR 0</w:t>
            </w:r>
          </w:p>
        </w:tc>
        <w:tc>
          <w:tcPr>
            <w:tcW w:type="dxa" w:w="1584"/>
            <w:shd w:val="clear" w:fill="17181B"/>
          </w:tcPr>
          <w:p>
            <w:r/>
            <w:r>
              <w:rPr>
                <w:rFonts w:ascii="Consolas" w:hAnsi="Consolas" w:cs="Consolas" w:eastAsia="Consolas"/>
                <w:b/>
                <w:i w:val="0"/>
                <w:color w:val="FFFFFF"/>
                <w:sz w:val="18"/>
              </w:rPr>
              <w:t>YEAR 1</w:t>
            </w:r>
          </w:p>
        </w:tc>
        <w:tc>
          <w:tcPr>
            <w:tcW w:type="dxa" w:w="1584"/>
            <w:shd w:val="clear" w:fill="17181B"/>
          </w:tcPr>
          <w:p>
            <w:r/>
            <w:r>
              <w:rPr>
                <w:rFonts w:ascii="Consolas" w:hAnsi="Consolas" w:cs="Consolas" w:eastAsia="Consolas"/>
                <w:b/>
                <w:i w:val="0"/>
                <w:color w:val="FFFFFF"/>
                <w:sz w:val="18"/>
              </w:rPr>
              <w:t>YEAR 2</w:t>
            </w:r>
          </w:p>
        </w:tc>
        <w:tc>
          <w:tcPr>
            <w:tcW w:type="dxa" w:w="1584"/>
            <w:shd w:val="clear" w:fill="17181B"/>
          </w:tcPr>
          <w:p>
            <w:r/>
            <w:r>
              <w:rPr>
                <w:rFonts w:ascii="Consolas" w:hAnsi="Consolas" w:cs="Consolas" w:eastAsia="Consolas"/>
                <w:b/>
                <w:i w:val="0"/>
                <w:color w:val="FFFFFF"/>
                <w:sz w:val="18"/>
              </w:rPr>
              <w:t>YEAR 3</w:t>
            </w:r>
          </w:p>
        </w:tc>
      </w:tr>
      <w:tr>
        <w:tc>
          <w:tcPr>
            <w:tcW w:type="dxa" w:w="3744"/>
          </w:tcPr>
          <w:p>
            <w:r/>
            <w:r>
              <w:rPr>
                <w:rFonts w:ascii="Georgia" w:hAnsi="Georgia" w:cs="Georgia" w:eastAsia="Georgia"/>
                <w:b w:val="0"/>
                <w:i/>
                <w:color w:val="6B6A63"/>
                <w:sz w:val="20"/>
              </w:rPr>
              <w:t>Average paying accounts</w:t>
            </w:r>
          </w:p>
        </w:tc>
        <w:tc>
          <w:tcPr>
            <w:tcW w:type="dxa" w:w="1584"/>
          </w:tcPr>
          <w:p>
            <w:r/>
            <w:r>
              <w:rPr>
                <w:rFonts w:ascii="Georgia" w:hAnsi="Georgia" w:cs="Georgia" w:eastAsia="Georgia"/>
                <w:b w:val="0"/>
                <w:i/>
                <w:color w:val="6B6A63"/>
                <w:sz w:val="20"/>
              </w:rPr>
            </w:r>
          </w:p>
        </w:tc>
        <w:tc>
          <w:tcPr>
            <w:tcW w:type="dxa" w:w="1584"/>
          </w:tcPr>
          <w:p>
            <w:r/>
            <w:r>
              <w:rPr>
                <w:rFonts w:ascii="Georgia" w:hAnsi="Georgia" w:cs="Georgia" w:eastAsia="Georgia"/>
                <w:b w:val="0"/>
                <w:i/>
                <w:color w:val="6B6A63"/>
                <w:sz w:val="20"/>
              </w:rPr>
              <w:t>250</w:t>
            </w:r>
          </w:p>
        </w:tc>
        <w:tc>
          <w:tcPr>
            <w:tcW w:type="dxa" w:w="1584"/>
          </w:tcPr>
          <w:p>
            <w:r/>
            <w:r>
              <w:rPr>
                <w:rFonts w:ascii="Georgia" w:hAnsi="Georgia" w:cs="Georgia" w:eastAsia="Georgia"/>
                <w:b w:val="0"/>
                <w:i/>
                <w:color w:val="6B6A63"/>
                <w:sz w:val="20"/>
              </w:rPr>
              <w:t>600</w:t>
            </w:r>
          </w:p>
        </w:tc>
        <w:tc>
          <w:tcPr>
            <w:tcW w:type="dxa" w:w="1584"/>
          </w:tcPr>
          <w:p>
            <w:r/>
            <w:r>
              <w:rPr>
                <w:rFonts w:ascii="Georgia" w:hAnsi="Georgia" w:cs="Georgia" w:eastAsia="Georgia"/>
                <w:b w:val="0"/>
                <w:i/>
                <w:color w:val="6B6A63"/>
                <w:sz w:val="20"/>
              </w:rPr>
              <w:t>1,000</w:t>
            </w:r>
          </w:p>
        </w:tc>
      </w:tr>
      <w:tr>
        <w:tc>
          <w:tcPr>
            <w:tcW w:type="dxa" w:w="3744"/>
          </w:tcPr>
          <w:p>
            <w:r/>
            <w:r>
              <w:rPr>
                <w:rFonts w:ascii="Georgia" w:hAnsi="Georgia" w:cs="Georgia" w:eastAsia="Georgia"/>
                <w:b w:val="0"/>
                <w:i/>
                <w:color w:val="6B6A63"/>
                <w:sz w:val="20"/>
              </w:rPr>
              <w:t>Revenue ($49 × 12 per account)</w:t>
            </w:r>
          </w:p>
        </w:tc>
        <w:tc>
          <w:tcPr>
            <w:tcW w:type="dxa" w:w="1584"/>
          </w:tcPr>
          <w:p>
            <w:r/>
            <w:r>
              <w:rPr>
                <w:rFonts w:ascii="Georgia" w:hAnsi="Georgia" w:cs="Georgia" w:eastAsia="Georgia"/>
                <w:b w:val="0"/>
                <w:i/>
                <w:color w:val="6B6A63"/>
                <w:sz w:val="20"/>
              </w:rPr>
            </w:r>
          </w:p>
        </w:tc>
        <w:tc>
          <w:tcPr>
            <w:tcW w:type="dxa" w:w="1584"/>
          </w:tcPr>
          <w:p>
            <w:r/>
            <w:r>
              <w:rPr>
                <w:rFonts w:ascii="Georgia" w:hAnsi="Georgia" w:cs="Georgia" w:eastAsia="Georgia"/>
                <w:b w:val="0"/>
                <w:i/>
                <w:color w:val="6B6A63"/>
                <w:sz w:val="20"/>
              </w:rPr>
              <w:t>$147,000</w:t>
            </w:r>
          </w:p>
        </w:tc>
        <w:tc>
          <w:tcPr>
            <w:tcW w:type="dxa" w:w="1584"/>
          </w:tcPr>
          <w:p>
            <w:r/>
            <w:r>
              <w:rPr>
                <w:rFonts w:ascii="Georgia" w:hAnsi="Georgia" w:cs="Georgia" w:eastAsia="Georgia"/>
                <w:b w:val="0"/>
                <w:i/>
                <w:color w:val="6B6A63"/>
                <w:sz w:val="20"/>
              </w:rPr>
              <w:t>$352,800</w:t>
            </w:r>
          </w:p>
        </w:tc>
        <w:tc>
          <w:tcPr>
            <w:tcW w:type="dxa" w:w="1584"/>
          </w:tcPr>
          <w:p>
            <w:r/>
            <w:r>
              <w:rPr>
                <w:rFonts w:ascii="Georgia" w:hAnsi="Georgia" w:cs="Georgia" w:eastAsia="Georgia"/>
                <w:b w:val="0"/>
                <w:i/>
                <w:color w:val="6B6A63"/>
                <w:sz w:val="20"/>
              </w:rPr>
              <w:t>$588,000</w:t>
            </w:r>
          </w:p>
        </w:tc>
      </w:tr>
      <w:tr>
        <w:tc>
          <w:tcPr>
            <w:tcW w:type="dxa" w:w="3744"/>
          </w:tcPr>
          <w:p>
            <w:r/>
            <w:r>
              <w:rPr>
                <w:rFonts w:ascii="Georgia" w:hAnsi="Georgia" w:cs="Georgia" w:eastAsia="Georgia"/>
                <w:b w:val="0"/>
                <w:i/>
                <w:color w:val="6B6A63"/>
                <w:sz w:val="20"/>
              </w:rPr>
              <w:t>Variable costs (30%)</w:t>
            </w:r>
          </w:p>
        </w:tc>
        <w:tc>
          <w:tcPr>
            <w:tcW w:type="dxa" w:w="1584"/>
          </w:tcPr>
          <w:p>
            <w:r/>
            <w:r>
              <w:rPr>
                <w:rFonts w:ascii="Georgia" w:hAnsi="Georgia" w:cs="Georgia" w:eastAsia="Georgia"/>
                <w:b w:val="0"/>
                <w:i/>
                <w:color w:val="6B6A63"/>
                <w:sz w:val="20"/>
              </w:rPr>
            </w:r>
          </w:p>
        </w:tc>
        <w:tc>
          <w:tcPr>
            <w:tcW w:type="dxa" w:w="1584"/>
          </w:tcPr>
          <w:p>
            <w:r/>
            <w:r>
              <w:rPr>
                <w:rFonts w:ascii="Georgia" w:hAnsi="Georgia" w:cs="Georgia" w:eastAsia="Georgia"/>
                <w:b w:val="0"/>
                <w:i/>
                <w:color w:val="6B6A63"/>
                <w:sz w:val="20"/>
              </w:rPr>
              <w:t>$44,100</w:t>
            </w:r>
          </w:p>
        </w:tc>
        <w:tc>
          <w:tcPr>
            <w:tcW w:type="dxa" w:w="1584"/>
          </w:tcPr>
          <w:p>
            <w:r/>
            <w:r>
              <w:rPr>
                <w:rFonts w:ascii="Georgia" w:hAnsi="Georgia" w:cs="Georgia" w:eastAsia="Georgia"/>
                <w:b w:val="0"/>
                <w:i/>
                <w:color w:val="6B6A63"/>
                <w:sz w:val="20"/>
              </w:rPr>
              <w:t>$105,840</w:t>
            </w:r>
          </w:p>
        </w:tc>
        <w:tc>
          <w:tcPr>
            <w:tcW w:type="dxa" w:w="1584"/>
          </w:tcPr>
          <w:p>
            <w:r/>
            <w:r>
              <w:rPr>
                <w:rFonts w:ascii="Georgia" w:hAnsi="Georgia" w:cs="Georgia" w:eastAsia="Georgia"/>
                <w:b w:val="0"/>
                <w:i/>
                <w:color w:val="6B6A63"/>
                <w:sz w:val="20"/>
              </w:rPr>
              <w:t>$176,400</w:t>
            </w:r>
          </w:p>
        </w:tc>
      </w:tr>
      <w:tr>
        <w:tc>
          <w:tcPr>
            <w:tcW w:type="dxa" w:w="3744"/>
          </w:tcPr>
          <w:p>
            <w:r/>
            <w:r>
              <w:rPr>
                <w:rFonts w:ascii="Georgia" w:hAnsi="Georgia" w:cs="Georgia" w:eastAsia="Georgia"/>
                <w:b w:val="0"/>
                <w:i/>
                <w:color w:val="6B6A63"/>
                <w:sz w:val="20"/>
              </w:rPr>
              <w:t>Fixed costs</w:t>
            </w:r>
          </w:p>
        </w:tc>
        <w:tc>
          <w:tcPr>
            <w:tcW w:type="dxa" w:w="1584"/>
          </w:tcPr>
          <w:p>
            <w:r/>
            <w:r>
              <w:rPr>
                <w:rFonts w:ascii="Georgia" w:hAnsi="Georgia" w:cs="Georgia" w:eastAsia="Georgia"/>
                <w:b w:val="0"/>
                <w:i/>
                <w:color w:val="6B6A63"/>
                <w:sz w:val="20"/>
              </w:rPr>
            </w:r>
          </w:p>
        </w:tc>
        <w:tc>
          <w:tcPr>
            <w:tcW w:type="dxa" w:w="1584"/>
          </w:tcPr>
          <w:p>
            <w:r/>
            <w:r>
              <w:rPr>
                <w:rFonts w:ascii="Georgia" w:hAnsi="Georgia" w:cs="Georgia" w:eastAsia="Georgia"/>
                <w:b w:val="0"/>
                <w:i/>
                <w:color w:val="6B6A63"/>
                <w:sz w:val="20"/>
              </w:rPr>
              <w:t>$150,000</w:t>
            </w:r>
          </w:p>
        </w:tc>
        <w:tc>
          <w:tcPr>
            <w:tcW w:type="dxa" w:w="1584"/>
          </w:tcPr>
          <w:p>
            <w:r/>
            <w:r>
              <w:rPr>
                <w:rFonts w:ascii="Georgia" w:hAnsi="Georgia" w:cs="Georgia" w:eastAsia="Georgia"/>
                <w:b w:val="0"/>
                <w:i/>
                <w:color w:val="6B6A63"/>
                <w:sz w:val="20"/>
              </w:rPr>
              <w:t>$150,000</w:t>
            </w:r>
          </w:p>
        </w:tc>
        <w:tc>
          <w:tcPr>
            <w:tcW w:type="dxa" w:w="1584"/>
          </w:tcPr>
          <w:p>
            <w:r/>
            <w:r>
              <w:rPr>
                <w:rFonts w:ascii="Georgia" w:hAnsi="Georgia" w:cs="Georgia" w:eastAsia="Georgia"/>
                <w:b w:val="0"/>
                <w:i/>
                <w:color w:val="6B6A63"/>
                <w:sz w:val="20"/>
              </w:rPr>
              <w:t>$150,000</w:t>
            </w:r>
          </w:p>
        </w:tc>
      </w:tr>
      <w:tr>
        <w:tc>
          <w:tcPr>
            <w:tcW w:type="dxa" w:w="3744"/>
          </w:tcPr>
          <w:p>
            <w:r/>
            <w:r>
              <w:rPr>
                <w:rFonts w:ascii="Georgia" w:hAnsi="Georgia" w:cs="Georgia" w:eastAsia="Georgia"/>
                <w:b w:val="0"/>
                <w:i/>
                <w:color w:val="6B6A63"/>
                <w:sz w:val="20"/>
              </w:rPr>
              <w:t>Initial investment</w:t>
            </w:r>
          </w:p>
        </w:tc>
        <w:tc>
          <w:tcPr>
            <w:tcW w:type="dxa" w:w="1584"/>
          </w:tcPr>
          <w:p>
            <w:r/>
            <w:r>
              <w:rPr>
                <w:rFonts w:ascii="Georgia" w:hAnsi="Georgia" w:cs="Georgia" w:eastAsia="Georgia"/>
                <w:b w:val="0"/>
                <w:i/>
                <w:color w:val="6B6A63"/>
                <w:sz w:val="20"/>
              </w:rPr>
              <w:t>$180,000</w:t>
            </w:r>
          </w:p>
        </w:tc>
        <w:tc>
          <w:tcPr>
            <w:tcW w:type="dxa" w:w="1584"/>
          </w:tcPr>
          <w:p>
            <w:r/>
            <w:r>
              <w:rPr>
                <w:rFonts w:ascii="Georgia" w:hAnsi="Georgia" w:cs="Georgia" w:eastAsia="Georgia"/>
                <w:b w:val="0"/>
                <w:i/>
                <w:color w:val="6B6A63"/>
                <w:sz w:val="20"/>
              </w:rPr>
            </w:r>
          </w:p>
        </w:tc>
        <w:tc>
          <w:tcPr>
            <w:tcW w:type="dxa" w:w="1584"/>
          </w:tcPr>
          <w:p>
            <w:r/>
            <w:r>
              <w:rPr>
                <w:rFonts w:ascii="Georgia" w:hAnsi="Georgia" w:cs="Georgia" w:eastAsia="Georgia"/>
                <w:b w:val="0"/>
                <w:i/>
                <w:color w:val="6B6A63"/>
                <w:sz w:val="20"/>
              </w:rPr>
            </w:r>
          </w:p>
        </w:tc>
        <w:tc>
          <w:tcPr>
            <w:tcW w:type="dxa" w:w="1584"/>
          </w:tcPr>
          <w:p>
            <w:r/>
            <w:r>
              <w:rPr>
                <w:rFonts w:ascii="Georgia" w:hAnsi="Georgia" w:cs="Georgia" w:eastAsia="Georgia"/>
                <w:b w:val="0"/>
                <w:i/>
                <w:color w:val="6B6A63"/>
                <w:sz w:val="20"/>
              </w:rPr>
            </w:r>
          </w:p>
        </w:tc>
      </w:tr>
      <w:tr>
        <w:tc>
          <w:tcPr>
            <w:tcW w:type="dxa" w:w="3744"/>
          </w:tcPr>
          <w:p>
            <w:r/>
            <w:r>
              <w:rPr>
                <w:rFonts w:ascii="Georgia" w:hAnsi="Georgia" w:cs="Georgia" w:eastAsia="Georgia"/>
                <w:b w:val="0"/>
                <w:i/>
                <w:color w:val="6B6A63"/>
                <w:sz w:val="20"/>
              </w:rPr>
              <w:t>Net cash flow</w:t>
            </w:r>
          </w:p>
        </w:tc>
        <w:tc>
          <w:tcPr>
            <w:tcW w:type="dxa" w:w="1584"/>
          </w:tcPr>
          <w:p>
            <w:r/>
            <w:r>
              <w:rPr>
                <w:rFonts w:ascii="Georgia" w:hAnsi="Georgia" w:cs="Georgia" w:eastAsia="Georgia"/>
                <w:b w:val="0"/>
                <w:i/>
                <w:color w:val="6B6A63"/>
                <w:sz w:val="20"/>
              </w:rPr>
              <w:t>-$180,000</w:t>
            </w:r>
          </w:p>
        </w:tc>
        <w:tc>
          <w:tcPr>
            <w:tcW w:type="dxa" w:w="1584"/>
          </w:tcPr>
          <w:p>
            <w:r/>
            <w:r>
              <w:rPr>
                <w:rFonts w:ascii="Georgia" w:hAnsi="Georgia" w:cs="Georgia" w:eastAsia="Georgia"/>
                <w:b w:val="0"/>
                <w:i/>
                <w:color w:val="6B6A63"/>
                <w:sz w:val="20"/>
              </w:rPr>
              <w:t>-$47,100</w:t>
            </w:r>
          </w:p>
        </w:tc>
        <w:tc>
          <w:tcPr>
            <w:tcW w:type="dxa" w:w="1584"/>
          </w:tcPr>
          <w:p>
            <w:r/>
            <w:r>
              <w:rPr>
                <w:rFonts w:ascii="Georgia" w:hAnsi="Georgia" w:cs="Georgia" w:eastAsia="Georgia"/>
                <w:b w:val="0"/>
                <w:i/>
                <w:color w:val="6B6A63"/>
                <w:sz w:val="20"/>
              </w:rPr>
              <w:t>$96,960</w:t>
            </w:r>
          </w:p>
        </w:tc>
        <w:tc>
          <w:tcPr>
            <w:tcW w:type="dxa" w:w="1584"/>
          </w:tcPr>
          <w:p>
            <w:r/>
            <w:r>
              <w:rPr>
                <w:rFonts w:ascii="Georgia" w:hAnsi="Georgia" w:cs="Georgia" w:eastAsia="Georgia"/>
                <w:b w:val="0"/>
                <w:i/>
                <w:color w:val="6B6A63"/>
                <w:sz w:val="20"/>
              </w:rPr>
              <w:t>$261,600</w:t>
            </w:r>
          </w:p>
        </w:tc>
      </w:tr>
      <w:tr>
        <w:tc>
          <w:tcPr>
            <w:tcW w:type="dxa" w:w="3744"/>
          </w:tcPr>
          <w:p>
            <w:r/>
            <w:r>
              <w:rPr>
                <w:rFonts w:ascii="Georgia" w:hAnsi="Georgia" w:cs="Georgia" w:eastAsia="Georgia"/>
                <w:b/>
                <w:i/>
                <w:color w:val="6B6A63"/>
                <w:sz w:val="20"/>
              </w:rPr>
              <w:t>Cumulative cash flow</w:t>
            </w:r>
          </w:p>
        </w:tc>
        <w:tc>
          <w:tcPr>
            <w:tcW w:type="dxa" w:w="1584"/>
          </w:tcPr>
          <w:p>
            <w:r/>
            <w:r>
              <w:rPr>
                <w:rFonts w:ascii="Georgia" w:hAnsi="Georgia" w:cs="Georgia" w:eastAsia="Georgia"/>
                <w:b/>
                <w:i/>
                <w:color w:val="6B6A63"/>
                <w:sz w:val="20"/>
              </w:rPr>
              <w:t>-$180,000</w:t>
            </w:r>
          </w:p>
        </w:tc>
        <w:tc>
          <w:tcPr>
            <w:tcW w:type="dxa" w:w="1584"/>
          </w:tcPr>
          <w:p>
            <w:r/>
            <w:r>
              <w:rPr>
                <w:rFonts w:ascii="Georgia" w:hAnsi="Georgia" w:cs="Georgia" w:eastAsia="Georgia"/>
                <w:b/>
                <w:i/>
                <w:color w:val="6B6A63"/>
                <w:sz w:val="20"/>
              </w:rPr>
              <w:t>-$227,100</w:t>
            </w:r>
          </w:p>
        </w:tc>
        <w:tc>
          <w:tcPr>
            <w:tcW w:type="dxa" w:w="1584"/>
          </w:tcPr>
          <w:p>
            <w:r/>
            <w:r>
              <w:rPr>
                <w:rFonts w:ascii="Georgia" w:hAnsi="Georgia" w:cs="Georgia" w:eastAsia="Georgia"/>
                <w:b/>
                <w:i/>
                <w:color w:val="6B6A63"/>
                <w:sz w:val="20"/>
              </w:rPr>
              <w:t>-$130,140</w:t>
            </w:r>
          </w:p>
        </w:tc>
        <w:tc>
          <w:tcPr>
            <w:tcW w:type="dxa" w:w="1584"/>
          </w:tcPr>
          <w:p>
            <w:r/>
            <w:r>
              <w:rPr>
                <w:rFonts w:ascii="Georgia" w:hAnsi="Georgia" w:cs="Georgia" w:eastAsia="Georgia"/>
                <w:b/>
                <w:i/>
                <w:color w:val="6B6A63"/>
                <w:sz w:val="20"/>
              </w:rPr>
              <w:t>$131,460</w:t>
            </w:r>
          </w:p>
        </w:tc>
      </w:tr>
    </w:tbl>
    <w:p>
      <w:pPr>
        <w:spacing w:after="80"/>
      </w:pPr>
    </w:p>
    <w:p>
      <w:pPr>
        <w:spacing w:after="120"/>
      </w:pPr>
      <w:r>
        <w:rPr>
          <w:rFonts w:ascii="Georgia" w:hAnsi="Georgia" w:cs="Georgia" w:eastAsia="Georgia"/>
          <w:b/>
          <w:i/>
          <w:color w:val="17181B"/>
          <w:sz w:val="21"/>
        </w:rPr>
        <w:t xml:space="preserve">Results: </w:t>
      </w:r>
      <w:r>
        <w:rPr>
          <w:rFonts w:ascii="Georgia" w:hAnsi="Georgia" w:cs="Georgia" w:eastAsia="Georgia"/>
          <w:i/>
          <w:color w:val="6B6A63"/>
          <w:sz w:val="21"/>
        </w:rPr>
        <w:t>NPV at 10% of $53,858; payback at 2.5 years (two full years plus $130,140 of the $261,600 earned in year three); three-year cumulative net of $131,460, a 73% return on investment against a 10% hurdle.</w:t>
      </w:r>
    </w:p>
    <w:p>
      <w:pPr>
        <w:spacing w:after="120"/>
      </w:pPr>
      <w:r>
        <w:rPr>
          <w:rFonts w:ascii="Georgia" w:hAnsi="Georgia" w:cs="Georgia" w:eastAsia="Georgia"/>
          <w:i/>
          <w:color w:val="6B6A63"/>
          <w:sz w:val="22"/>
        </w:rPr>
        <w:t>Sensitivity: move one input per row and present the base case next to it. The combined row exists only as a stress test.</w:t>
      </w:r>
    </w:p>
    <w:tbl>
      <w:tblPr>
        <w:tblStyle w:val="TableGrid"/>
        <w:tblW w:type="auto" w:w="0"/>
        <w:tblLayout w:type="fixed"/>
        <w:tblLook w:firstColumn="1" w:firstRow="1" w:lastColumn="0" w:lastRow="0" w:noHBand="0" w:noVBand="1" w:val="04A0"/>
      </w:tblPr>
      <w:tblGrid>
        <w:gridCol w:w="2448"/>
        <w:gridCol w:w="3744"/>
        <w:gridCol w:w="1872"/>
        <w:gridCol w:w="2015"/>
      </w:tblGrid>
      <w:tr>
        <w:tc>
          <w:tcPr>
            <w:tcW w:type="dxa" w:w="2448"/>
            <w:shd w:val="clear" w:fill="17181B"/>
          </w:tcPr>
          <w:p>
            <w:r/>
            <w:r>
              <w:rPr>
                <w:rFonts w:ascii="Consolas" w:hAnsi="Consolas" w:cs="Consolas" w:eastAsia="Consolas"/>
                <w:b/>
                <w:i w:val="0"/>
                <w:color w:val="FFFFFF"/>
                <w:sz w:val="18"/>
              </w:rPr>
              <w:t>SCENARIO</w:t>
            </w:r>
          </w:p>
        </w:tc>
        <w:tc>
          <w:tcPr>
            <w:tcW w:type="dxa" w:w="3744"/>
            <w:shd w:val="clear" w:fill="17181B"/>
          </w:tcPr>
          <w:p>
            <w:r/>
            <w:r>
              <w:rPr>
                <w:rFonts w:ascii="Consolas" w:hAnsi="Consolas" w:cs="Consolas" w:eastAsia="Consolas"/>
                <w:b/>
                <w:i w:val="0"/>
                <w:color w:val="FFFFFF"/>
                <w:sz w:val="18"/>
              </w:rPr>
              <w:t>CHANGE</w:t>
            </w:r>
          </w:p>
        </w:tc>
        <w:tc>
          <w:tcPr>
            <w:tcW w:type="dxa" w:w="1872"/>
            <w:shd w:val="clear" w:fill="17181B"/>
          </w:tcPr>
          <w:p>
            <w:r/>
            <w:r>
              <w:rPr>
                <w:rFonts w:ascii="Consolas" w:hAnsi="Consolas" w:cs="Consolas" w:eastAsia="Consolas"/>
                <w:b/>
                <w:i w:val="0"/>
                <w:color w:val="FFFFFF"/>
                <w:sz w:val="18"/>
              </w:rPr>
              <w:t>NPV AT 10%</w:t>
            </w:r>
          </w:p>
        </w:tc>
        <w:tc>
          <w:tcPr>
            <w:tcW w:type="dxa" w:w="2016"/>
            <w:shd w:val="clear" w:fill="17181B"/>
          </w:tcPr>
          <w:p>
            <w:r/>
            <w:r>
              <w:rPr>
                <w:rFonts w:ascii="Consolas" w:hAnsi="Consolas" w:cs="Consolas" w:eastAsia="Consolas"/>
                <w:b/>
                <w:i w:val="0"/>
                <w:color w:val="FFFFFF"/>
                <w:sz w:val="18"/>
              </w:rPr>
              <w:t>PAYBACK</w:t>
            </w:r>
          </w:p>
        </w:tc>
      </w:tr>
      <w:tr>
        <w:tc>
          <w:tcPr>
            <w:tcW w:type="dxa" w:w="2448"/>
          </w:tcPr>
          <w:p>
            <w:r/>
            <w:r>
              <w:rPr>
                <w:rFonts w:ascii="Georgia" w:hAnsi="Georgia" w:cs="Georgia" w:eastAsia="Georgia"/>
                <w:b w:val="0"/>
                <w:i/>
                <w:color w:val="6B6A63"/>
                <w:sz w:val="20"/>
              </w:rPr>
              <w:t>Base case</w:t>
            </w:r>
          </w:p>
        </w:tc>
        <w:tc>
          <w:tcPr>
            <w:tcW w:type="dxa" w:w="3744"/>
          </w:tcPr>
          <w:p>
            <w:r/>
            <w:r>
              <w:rPr>
                <w:rFonts w:ascii="Georgia" w:hAnsi="Georgia" w:cs="Georgia" w:eastAsia="Georgia"/>
                <w:b w:val="0"/>
                <w:i/>
                <w:color w:val="6B6A63"/>
                <w:sz w:val="20"/>
              </w:rPr>
              <w:t>None</w:t>
            </w:r>
          </w:p>
        </w:tc>
        <w:tc>
          <w:tcPr>
            <w:tcW w:type="dxa" w:w="1872"/>
          </w:tcPr>
          <w:p>
            <w:r/>
            <w:r>
              <w:rPr>
                <w:rFonts w:ascii="Georgia" w:hAnsi="Georgia" w:cs="Georgia" w:eastAsia="Georgia"/>
                <w:b w:val="0"/>
                <w:i/>
                <w:color w:val="6B6A63"/>
                <w:sz w:val="20"/>
              </w:rPr>
              <w:t>$53,858</w:t>
            </w:r>
          </w:p>
        </w:tc>
        <w:tc>
          <w:tcPr>
            <w:tcW w:type="dxa" w:w="2016"/>
          </w:tcPr>
          <w:p>
            <w:r/>
            <w:r>
              <w:rPr>
                <w:rFonts w:ascii="Georgia" w:hAnsi="Georgia" w:cs="Georgia" w:eastAsia="Georgia"/>
                <w:b w:val="0"/>
                <w:i/>
                <w:color w:val="6B6A63"/>
                <w:sz w:val="20"/>
              </w:rPr>
              <w:t>2.5 years</w:t>
            </w:r>
          </w:p>
        </w:tc>
      </w:tr>
      <w:tr>
        <w:tc>
          <w:tcPr>
            <w:tcW w:type="dxa" w:w="2448"/>
          </w:tcPr>
          <w:p>
            <w:r/>
            <w:r>
              <w:rPr>
                <w:rFonts w:ascii="Georgia" w:hAnsi="Georgia" w:cs="Georgia" w:eastAsia="Georgia"/>
                <w:b w:val="0"/>
                <w:i/>
                <w:color w:val="6B6A63"/>
                <w:sz w:val="20"/>
              </w:rPr>
              <w:t>Demand -20%</w:t>
            </w:r>
          </w:p>
        </w:tc>
        <w:tc>
          <w:tcPr>
            <w:tcW w:type="dxa" w:w="3744"/>
          </w:tcPr>
          <w:p>
            <w:r/>
            <w:r>
              <w:rPr>
                <w:rFonts w:ascii="Georgia" w:hAnsi="Georgia" w:cs="Georgia" w:eastAsia="Georgia"/>
                <w:b w:val="0"/>
                <w:i/>
                <w:color w:val="6B6A63"/>
                <w:sz w:val="20"/>
              </w:rPr>
              <w:t>200 / 480 / 800 accounts</w:t>
            </w:r>
          </w:p>
        </w:tc>
        <w:tc>
          <w:tcPr>
            <w:tcW w:type="dxa" w:w="1872"/>
          </w:tcPr>
          <w:p>
            <w:r/>
            <w:r>
              <w:rPr>
                <w:rFonts w:ascii="Georgia" w:hAnsi="Georgia" w:cs="Georgia" w:eastAsia="Georgia"/>
                <w:b w:val="0"/>
                <w:i/>
                <w:color w:val="6B6A63"/>
                <w:sz w:val="20"/>
              </w:rPr>
              <w:t>-$67,519</w:t>
            </w:r>
          </w:p>
        </w:tc>
        <w:tc>
          <w:tcPr>
            <w:tcW w:type="dxa" w:w="2016"/>
          </w:tcPr>
          <w:p>
            <w:r/>
            <w:r>
              <w:rPr>
                <w:rFonts w:ascii="Georgia" w:hAnsi="Georgia" w:cs="Georgia" w:eastAsia="Georgia"/>
                <w:b w:val="0"/>
                <w:i/>
                <w:color w:val="6B6A63"/>
                <w:sz w:val="20"/>
              </w:rPr>
              <w:t>Beyond year 3</w:t>
            </w:r>
          </w:p>
        </w:tc>
      </w:tr>
      <w:tr>
        <w:tc>
          <w:tcPr>
            <w:tcW w:type="dxa" w:w="2448"/>
          </w:tcPr>
          <w:p>
            <w:r/>
            <w:r>
              <w:rPr>
                <w:rFonts w:ascii="Georgia" w:hAnsi="Georgia" w:cs="Georgia" w:eastAsia="Georgia"/>
                <w:b w:val="0"/>
                <w:i/>
                <w:color w:val="6B6A63"/>
                <w:sz w:val="20"/>
              </w:rPr>
              <w:t>Price -10%</w:t>
            </w:r>
          </w:p>
        </w:tc>
        <w:tc>
          <w:tcPr>
            <w:tcW w:type="dxa" w:w="3744"/>
          </w:tcPr>
          <w:p>
            <w:r/>
            <w:r>
              <w:rPr>
                <w:rFonts w:ascii="Georgia" w:hAnsi="Georgia" w:cs="Georgia" w:eastAsia="Georgia"/>
                <w:b w:val="0"/>
                <w:i/>
                <w:color w:val="6B6A63"/>
                <w:sz w:val="20"/>
              </w:rPr>
              <w:t>$44 a month</w:t>
            </w:r>
          </w:p>
        </w:tc>
        <w:tc>
          <w:tcPr>
            <w:tcW w:type="dxa" w:w="1872"/>
          </w:tcPr>
          <w:p>
            <w:r/>
            <w:r>
              <w:rPr>
                <w:rFonts w:ascii="Georgia" w:hAnsi="Georgia" w:cs="Georgia" w:eastAsia="Georgia"/>
                <w:b w:val="0"/>
                <w:i/>
                <w:color w:val="6B6A63"/>
                <w:sz w:val="20"/>
              </w:rPr>
              <w:t>-$8,069</w:t>
            </w:r>
          </w:p>
        </w:tc>
        <w:tc>
          <w:tcPr>
            <w:tcW w:type="dxa" w:w="2016"/>
          </w:tcPr>
          <w:p>
            <w:r/>
            <w:r>
              <w:rPr>
                <w:rFonts w:ascii="Georgia" w:hAnsi="Georgia" w:cs="Georgia" w:eastAsia="Georgia"/>
                <w:b w:val="0"/>
                <w:i/>
                <w:color w:val="6B6A63"/>
                <w:sz w:val="20"/>
              </w:rPr>
              <w:t>2.8 years</w:t>
            </w:r>
          </w:p>
        </w:tc>
      </w:tr>
      <w:tr>
        <w:tc>
          <w:tcPr>
            <w:tcW w:type="dxa" w:w="2448"/>
          </w:tcPr>
          <w:p>
            <w:r/>
            <w:r>
              <w:rPr>
                <w:rFonts w:ascii="Georgia" w:hAnsi="Georgia" w:cs="Georgia" w:eastAsia="Georgia"/>
                <w:b w:val="0"/>
                <w:i/>
                <w:color w:val="6B6A63"/>
                <w:sz w:val="20"/>
              </w:rPr>
              <w:t>Fixed costs +15%</w:t>
            </w:r>
          </w:p>
        </w:tc>
        <w:tc>
          <w:tcPr>
            <w:tcW w:type="dxa" w:w="3744"/>
          </w:tcPr>
          <w:p>
            <w:r/>
            <w:r>
              <w:rPr>
                <w:rFonts w:ascii="Georgia" w:hAnsi="Georgia" w:cs="Georgia" w:eastAsia="Georgia"/>
                <w:b w:val="0"/>
                <w:i/>
                <w:color w:val="6B6A63"/>
                <w:sz w:val="20"/>
              </w:rPr>
              <w:t>$172,500 a year</w:t>
            </w:r>
          </w:p>
        </w:tc>
        <w:tc>
          <w:tcPr>
            <w:tcW w:type="dxa" w:w="1872"/>
          </w:tcPr>
          <w:p>
            <w:r/>
            <w:r>
              <w:rPr>
                <w:rFonts w:ascii="Georgia" w:hAnsi="Georgia" w:cs="Georgia" w:eastAsia="Georgia"/>
                <w:b w:val="0"/>
                <w:i/>
                <w:color w:val="6B6A63"/>
                <w:sz w:val="20"/>
              </w:rPr>
              <w:t>-$2,096</w:t>
            </w:r>
          </w:p>
        </w:tc>
        <w:tc>
          <w:tcPr>
            <w:tcW w:type="dxa" w:w="2016"/>
          </w:tcPr>
          <w:p>
            <w:r/>
            <w:r>
              <w:rPr>
                <w:rFonts w:ascii="Georgia" w:hAnsi="Georgia" w:cs="Georgia" w:eastAsia="Georgia"/>
                <w:b w:val="0"/>
                <w:i/>
                <w:color w:val="6B6A63"/>
                <w:sz w:val="20"/>
              </w:rPr>
              <w:t>2.7 years</w:t>
            </w:r>
          </w:p>
        </w:tc>
      </w:tr>
      <w:tr>
        <w:tc>
          <w:tcPr>
            <w:tcW w:type="dxa" w:w="2448"/>
          </w:tcPr>
          <w:p>
            <w:r/>
            <w:r>
              <w:rPr>
                <w:rFonts w:ascii="Georgia" w:hAnsi="Georgia" w:cs="Georgia" w:eastAsia="Georgia"/>
                <w:b w:val="0"/>
                <w:i/>
                <w:color w:val="6B6A63"/>
                <w:sz w:val="20"/>
              </w:rPr>
              <w:t>Combined downside</w:t>
            </w:r>
          </w:p>
        </w:tc>
        <w:tc>
          <w:tcPr>
            <w:tcW w:type="dxa" w:w="3744"/>
          </w:tcPr>
          <w:p>
            <w:r/>
            <w:r>
              <w:rPr>
                <w:rFonts w:ascii="Georgia" w:hAnsi="Georgia" w:cs="Georgia" w:eastAsia="Georgia"/>
                <w:b w:val="0"/>
                <w:i/>
                <w:color w:val="6B6A63"/>
                <w:sz w:val="20"/>
              </w:rPr>
              <w:t>Demand -20% and fixed costs +15%</w:t>
            </w:r>
          </w:p>
        </w:tc>
        <w:tc>
          <w:tcPr>
            <w:tcW w:type="dxa" w:w="1872"/>
          </w:tcPr>
          <w:p>
            <w:r/>
            <w:r>
              <w:rPr>
                <w:rFonts w:ascii="Georgia" w:hAnsi="Georgia" w:cs="Georgia" w:eastAsia="Georgia"/>
                <w:b w:val="0"/>
                <w:i/>
                <w:color w:val="6B6A63"/>
                <w:sz w:val="20"/>
              </w:rPr>
              <w:t>-$123,473</w:t>
            </w:r>
          </w:p>
        </w:tc>
        <w:tc>
          <w:tcPr>
            <w:tcW w:type="dxa" w:w="2016"/>
          </w:tcPr>
          <w:p>
            <w:r/>
            <w:r>
              <w:rPr>
                <w:rFonts w:ascii="Georgia" w:hAnsi="Georgia" w:cs="Georgia" w:eastAsia="Georgia"/>
                <w:b w:val="0"/>
                <w:i/>
                <w:color w:val="6B6A63"/>
                <w:sz w:val="20"/>
              </w:rPr>
              <w:t>Beyond year 3</w:t>
            </w:r>
          </w:p>
        </w:tc>
      </w:tr>
    </w:tbl>
    <w:p>
      <w:pPr>
        <w:spacing w:after="80"/>
      </w:pPr>
    </w:p>
    <w:p>
      <w:pPr>
        <w:spacing w:after="120"/>
      </w:pPr>
      <w:r>
        <w:rPr>
          <w:rFonts w:ascii="Georgia" w:hAnsi="Georgia" w:cs="Georgia" w:eastAsia="Georgia"/>
          <w:i/>
          <w:color w:val="6B6A63"/>
          <w:sz w:val="21"/>
        </w:rPr>
        <w:t>All four downside cases flip NPV negative. Break-even sits at 91.1% of planned demand, so a shortfall of just under 9% wipes out the return.</w:t>
      </w:r>
    </w:p>
    <w:p>
      <w:pPr>
        <w:spacing w:after="120"/>
      </w:pPr>
      <w:r>
        <w:rPr>
          <w:rFonts w:ascii="Georgia" w:hAnsi="Georgia" w:cs="Georgia" w:eastAsia="Georgia"/>
          <w:b/>
          <w:i/>
          <w:color w:val="17181B"/>
          <w:sz w:val="21"/>
        </w:rPr>
        <w:t xml:space="preserve">Financial score: </w:t>
      </w:r>
      <w:r>
        <w:rPr>
          <w:rFonts w:ascii="Georgia" w:hAnsi="Georgia" w:cs="Georgia" w:eastAsia="Georgia"/>
          <w:i/>
          <w:color w:val="6B6A63"/>
          <w:sz w:val="21"/>
        </w:rPr>
        <w:t>3 of 5, weight 25%.</w:t>
      </w:r>
    </w:p>
    <w:p>
      <w:pPr>
        <w:keepNext/>
        <w:spacing w:after="80" w:before="280"/>
      </w:pPr>
      <w:r>
        <w:rPr>
          <w:rFonts w:ascii="Georgia" w:hAnsi="Georgia" w:cs="Georgia" w:eastAsia="Georgia"/>
          <w:b/>
          <w:color w:val="17181B"/>
          <w:sz w:val="30"/>
        </w:rPr>
        <w:t>8. Risks and mitigation</w:t>
      </w:r>
    </w:p>
    <w:p>
      <w:pPr>
        <w:spacing w:after="120"/>
      </w:pPr>
      <w:r>
        <w:rPr>
          <w:rFonts w:ascii="Georgia" w:hAnsi="Georgia" w:cs="Georgia" w:eastAsia="Georgia"/>
          <w:i/>
          <w:color w:val="6B6A63"/>
          <w:sz w:val="22"/>
        </w:rPr>
        <w:t>Score likelihood and impact from 1 to 5 and multiply. Anything at 12 or above needs a named mitigation before project approval. The top risk should match the sensitivity analysis.</w:t>
      </w:r>
    </w:p>
    <w:tbl>
      <w:tblPr>
        <w:tblStyle w:val="TableGrid"/>
        <w:tblW w:type="auto" w:w="0"/>
        <w:tblLayout w:type="fixed"/>
        <w:tblLook w:firstColumn="1" w:firstRow="1" w:lastColumn="0" w:lastRow="0" w:noHBand="0" w:noVBand="1" w:val="04A0"/>
      </w:tblPr>
      <w:tblGrid>
        <w:gridCol w:w="2664"/>
        <w:gridCol w:w="1584"/>
        <w:gridCol w:w="503"/>
        <w:gridCol w:w="503"/>
        <w:gridCol w:w="936"/>
        <w:gridCol w:w="3888"/>
      </w:tblGrid>
      <w:tr>
        <w:tc>
          <w:tcPr>
            <w:tcW w:type="dxa" w:w="2664"/>
            <w:shd w:val="clear" w:fill="17181B"/>
          </w:tcPr>
          <w:p>
            <w:r/>
            <w:r>
              <w:rPr>
                <w:rFonts w:ascii="Consolas" w:hAnsi="Consolas" w:cs="Consolas" w:eastAsia="Consolas"/>
                <w:b/>
                <w:i w:val="0"/>
                <w:color w:val="FFFFFF"/>
                <w:sz w:val="18"/>
              </w:rPr>
              <w:t>RISK</w:t>
            </w:r>
          </w:p>
        </w:tc>
        <w:tc>
          <w:tcPr>
            <w:tcW w:type="dxa" w:w="1584"/>
            <w:shd w:val="clear" w:fill="17181B"/>
          </w:tcPr>
          <w:p>
            <w:r/>
            <w:r>
              <w:rPr>
                <w:rFonts w:ascii="Consolas" w:hAnsi="Consolas" w:cs="Consolas" w:eastAsia="Consolas"/>
                <w:b/>
                <w:i w:val="0"/>
                <w:color w:val="FFFFFF"/>
                <w:sz w:val="18"/>
              </w:rPr>
              <w:t>DIMENSION</w:t>
            </w:r>
          </w:p>
        </w:tc>
        <w:tc>
          <w:tcPr>
            <w:tcW w:type="dxa" w:w="504"/>
            <w:shd w:val="clear" w:fill="17181B"/>
          </w:tcPr>
          <w:p>
            <w:r/>
            <w:r>
              <w:rPr>
                <w:rFonts w:ascii="Consolas" w:hAnsi="Consolas" w:cs="Consolas" w:eastAsia="Consolas"/>
                <w:b/>
                <w:i w:val="0"/>
                <w:color w:val="FFFFFF"/>
                <w:sz w:val="18"/>
              </w:rPr>
              <w:t>L</w:t>
            </w:r>
          </w:p>
        </w:tc>
        <w:tc>
          <w:tcPr>
            <w:tcW w:type="dxa" w:w="504"/>
            <w:shd w:val="clear" w:fill="17181B"/>
          </w:tcPr>
          <w:p>
            <w:r/>
            <w:r>
              <w:rPr>
                <w:rFonts w:ascii="Consolas" w:hAnsi="Consolas" w:cs="Consolas" w:eastAsia="Consolas"/>
                <w:b/>
                <w:i w:val="0"/>
                <w:color w:val="FFFFFF"/>
                <w:sz w:val="18"/>
              </w:rPr>
              <w:t>I</w:t>
            </w:r>
          </w:p>
        </w:tc>
        <w:tc>
          <w:tcPr>
            <w:tcW w:type="dxa" w:w="936"/>
            <w:shd w:val="clear" w:fill="17181B"/>
          </w:tcPr>
          <w:p>
            <w:r/>
            <w:r>
              <w:rPr>
                <w:rFonts w:ascii="Consolas" w:hAnsi="Consolas" w:cs="Consolas" w:eastAsia="Consolas"/>
                <w:b/>
                <w:i w:val="0"/>
                <w:color w:val="FFFFFF"/>
                <w:sz w:val="18"/>
              </w:rPr>
              <w:t>SCORE</w:t>
            </w:r>
          </w:p>
        </w:tc>
        <w:tc>
          <w:tcPr>
            <w:tcW w:type="dxa" w:w="3888"/>
            <w:shd w:val="clear" w:fill="17181B"/>
          </w:tcPr>
          <w:p>
            <w:r/>
            <w:r>
              <w:rPr>
                <w:rFonts w:ascii="Consolas" w:hAnsi="Consolas" w:cs="Consolas" w:eastAsia="Consolas"/>
                <w:b/>
                <w:i w:val="0"/>
                <w:color w:val="FFFFFF"/>
                <w:sz w:val="18"/>
              </w:rPr>
              <w:t>MITIGATION</w:t>
            </w:r>
          </w:p>
        </w:tc>
      </w:tr>
      <w:tr>
        <w:tc>
          <w:tcPr>
            <w:tcW w:type="dxa" w:w="2664"/>
          </w:tcPr>
          <w:p>
            <w:r/>
            <w:r>
              <w:rPr>
                <w:rFonts w:ascii="Georgia" w:hAnsi="Georgia" w:cs="Georgia" w:eastAsia="Georgia"/>
                <w:b w:val="0"/>
                <w:i/>
                <w:color w:val="6B6A63"/>
                <w:sz w:val="20"/>
              </w:rPr>
              <w:t>Demand below plan in year one</w:t>
            </w:r>
          </w:p>
        </w:tc>
        <w:tc>
          <w:tcPr>
            <w:tcW w:type="dxa" w:w="1584"/>
          </w:tcPr>
          <w:p>
            <w:r/>
            <w:r>
              <w:rPr>
                <w:rFonts w:ascii="Georgia" w:hAnsi="Georgia" w:cs="Georgia" w:eastAsia="Georgia"/>
                <w:b w:val="0"/>
                <w:i/>
                <w:color w:val="6B6A63"/>
                <w:sz w:val="20"/>
              </w:rPr>
              <w:t>Market</w:t>
            </w:r>
          </w:p>
        </w:tc>
        <w:tc>
          <w:tcPr>
            <w:tcW w:type="dxa" w:w="504"/>
          </w:tcPr>
          <w:p>
            <w:r/>
            <w:r>
              <w:rPr>
                <w:rFonts w:ascii="Georgia" w:hAnsi="Georgia" w:cs="Georgia" w:eastAsia="Georgia"/>
                <w:b w:val="0"/>
                <w:i/>
                <w:color w:val="6B6A63"/>
                <w:sz w:val="20"/>
              </w:rPr>
              <w:t>3</w:t>
            </w:r>
          </w:p>
        </w:tc>
        <w:tc>
          <w:tcPr>
            <w:tcW w:type="dxa" w:w="504"/>
          </w:tcPr>
          <w:p>
            <w:r/>
            <w:r>
              <w:rPr>
                <w:rFonts w:ascii="Georgia" w:hAnsi="Georgia" w:cs="Georgia" w:eastAsia="Georgia"/>
                <w:b w:val="0"/>
                <w:i/>
                <w:color w:val="6B6A63"/>
                <w:sz w:val="20"/>
              </w:rPr>
              <w:t>4</w:t>
            </w:r>
          </w:p>
        </w:tc>
        <w:tc>
          <w:tcPr>
            <w:tcW w:type="dxa" w:w="936"/>
          </w:tcPr>
          <w:p>
            <w:r/>
            <w:r>
              <w:rPr>
                <w:rFonts w:ascii="Georgia" w:hAnsi="Georgia" w:cs="Georgia" w:eastAsia="Georgia"/>
                <w:b w:val="0"/>
                <w:i/>
                <w:color w:val="6B6A63"/>
                <w:sz w:val="20"/>
              </w:rPr>
              <w:t>12</w:t>
            </w:r>
          </w:p>
        </w:tc>
        <w:tc>
          <w:tcPr>
            <w:tcW w:type="dxa" w:w="3888"/>
          </w:tcPr>
          <w:p>
            <w:r/>
            <w:r>
              <w:rPr>
                <w:rFonts w:ascii="Georgia" w:hAnsi="Georgia" w:cs="Georgia" w:eastAsia="Georgia"/>
                <w:b w:val="0"/>
                <w:i/>
                <w:color w:val="6B6A63"/>
                <w:sz w:val="20"/>
              </w:rPr>
              <w:t>90-day pilot gate of 100 paying accounts before launch spend</w:t>
            </w:r>
          </w:p>
        </w:tc>
      </w:tr>
      <w:tr>
        <w:tc>
          <w:tcPr>
            <w:tcW w:type="dxa" w:w="2664"/>
          </w:tcPr>
          <w:p>
            <w:r/>
            <w:r>
              <w:rPr>
                <w:rFonts w:ascii="Georgia" w:hAnsi="Georgia" w:cs="Georgia" w:eastAsia="Georgia"/>
                <w:b w:val="0"/>
                <w:i/>
                <w:color w:val="6B6A63"/>
                <w:sz w:val="20"/>
              </w:rPr>
              <w:t>Support load outgrows one hire</w:t>
            </w:r>
          </w:p>
        </w:tc>
        <w:tc>
          <w:tcPr>
            <w:tcW w:type="dxa" w:w="1584"/>
          </w:tcPr>
          <w:p>
            <w:r/>
            <w:r>
              <w:rPr>
                <w:rFonts w:ascii="Georgia" w:hAnsi="Georgia" w:cs="Georgia" w:eastAsia="Georgia"/>
                <w:b w:val="0"/>
                <w:i/>
                <w:color w:val="6B6A63"/>
                <w:sz w:val="20"/>
              </w:rPr>
              <w:t>Operational</w:t>
            </w:r>
          </w:p>
        </w:tc>
        <w:tc>
          <w:tcPr>
            <w:tcW w:type="dxa" w:w="504"/>
          </w:tcPr>
          <w:p>
            <w:r/>
            <w:r>
              <w:rPr>
                <w:rFonts w:ascii="Georgia" w:hAnsi="Georgia" w:cs="Georgia" w:eastAsia="Georgia"/>
                <w:b w:val="0"/>
                <w:i/>
                <w:color w:val="6B6A63"/>
                <w:sz w:val="20"/>
              </w:rPr>
              <w:t>3</w:t>
            </w:r>
          </w:p>
        </w:tc>
        <w:tc>
          <w:tcPr>
            <w:tcW w:type="dxa" w:w="504"/>
          </w:tcPr>
          <w:p>
            <w:r/>
            <w:r>
              <w:rPr>
                <w:rFonts w:ascii="Georgia" w:hAnsi="Georgia" w:cs="Georgia" w:eastAsia="Georgia"/>
                <w:b w:val="0"/>
                <w:i/>
                <w:color w:val="6B6A63"/>
                <w:sz w:val="20"/>
              </w:rPr>
              <w:t>3</w:t>
            </w:r>
          </w:p>
        </w:tc>
        <w:tc>
          <w:tcPr>
            <w:tcW w:type="dxa" w:w="936"/>
          </w:tcPr>
          <w:p>
            <w:r/>
            <w:r>
              <w:rPr>
                <w:rFonts w:ascii="Georgia" w:hAnsi="Georgia" w:cs="Georgia" w:eastAsia="Georgia"/>
                <w:b w:val="0"/>
                <w:i/>
                <w:color w:val="6B6A63"/>
                <w:sz w:val="20"/>
              </w:rPr>
              <w:t>9</w:t>
            </w:r>
          </w:p>
        </w:tc>
        <w:tc>
          <w:tcPr>
            <w:tcW w:type="dxa" w:w="3888"/>
          </w:tcPr>
          <w:p>
            <w:r/>
            <w:r>
              <w:rPr>
                <w:rFonts w:ascii="Georgia" w:hAnsi="Georgia" w:cs="Georgia" w:eastAsia="Georgia"/>
                <w:b w:val="0"/>
                <w:i/>
                <w:color w:val="6B6A63"/>
                <w:sz w:val="20"/>
              </w:rPr>
              <w:t>Help centre and in-app guides built before launch</w:t>
            </w:r>
          </w:p>
        </w:tc>
      </w:tr>
      <w:tr>
        <w:tc>
          <w:tcPr>
            <w:tcW w:type="dxa" w:w="2664"/>
          </w:tcPr>
          <w:p>
            <w:r/>
            <w:r>
              <w:rPr>
                <w:rFonts w:ascii="Georgia" w:hAnsi="Georgia" w:cs="Georgia" w:eastAsia="Georgia"/>
                <w:b w:val="0"/>
                <w:i/>
                <w:color w:val="6B6A63"/>
                <w:sz w:val="20"/>
              </w:rPr>
              <w:t>Cannibalises the $299 tier</w:t>
            </w:r>
          </w:p>
        </w:tc>
        <w:tc>
          <w:tcPr>
            <w:tcW w:type="dxa" w:w="1584"/>
          </w:tcPr>
          <w:p>
            <w:r/>
            <w:r>
              <w:rPr>
                <w:rFonts w:ascii="Georgia" w:hAnsi="Georgia" w:cs="Georgia" w:eastAsia="Georgia"/>
                <w:b w:val="0"/>
                <w:i/>
                <w:color w:val="6B6A63"/>
                <w:sz w:val="20"/>
              </w:rPr>
              <w:t>Financial</w:t>
            </w:r>
          </w:p>
        </w:tc>
        <w:tc>
          <w:tcPr>
            <w:tcW w:type="dxa" w:w="504"/>
          </w:tcPr>
          <w:p>
            <w:r/>
            <w:r>
              <w:rPr>
                <w:rFonts w:ascii="Georgia" w:hAnsi="Georgia" w:cs="Georgia" w:eastAsia="Georgia"/>
                <w:b w:val="0"/>
                <w:i/>
                <w:color w:val="6B6A63"/>
                <w:sz w:val="20"/>
              </w:rPr>
              <w:t>2</w:t>
            </w:r>
          </w:p>
        </w:tc>
        <w:tc>
          <w:tcPr>
            <w:tcW w:type="dxa" w:w="504"/>
          </w:tcPr>
          <w:p>
            <w:r/>
            <w:r>
              <w:rPr>
                <w:rFonts w:ascii="Georgia" w:hAnsi="Georgia" w:cs="Georgia" w:eastAsia="Georgia"/>
                <w:b w:val="0"/>
                <w:i/>
                <w:color w:val="6B6A63"/>
                <w:sz w:val="20"/>
              </w:rPr>
              <w:t>4</w:t>
            </w:r>
          </w:p>
        </w:tc>
        <w:tc>
          <w:tcPr>
            <w:tcW w:type="dxa" w:w="936"/>
          </w:tcPr>
          <w:p>
            <w:r/>
            <w:r>
              <w:rPr>
                <w:rFonts w:ascii="Georgia" w:hAnsi="Georgia" w:cs="Georgia" w:eastAsia="Georgia"/>
                <w:b w:val="0"/>
                <w:i/>
                <w:color w:val="6B6A63"/>
                <w:sz w:val="20"/>
              </w:rPr>
              <w:t>8</w:t>
            </w:r>
          </w:p>
        </w:tc>
        <w:tc>
          <w:tcPr>
            <w:tcW w:type="dxa" w:w="3888"/>
          </w:tcPr>
          <w:p>
            <w:r/>
            <w:r>
              <w:rPr>
                <w:rFonts w:ascii="Georgia" w:hAnsi="Georgia" w:cs="Georgia" w:eastAsia="Georgia"/>
                <w:b w:val="0"/>
                <w:i/>
                <w:color w:val="6B6A63"/>
                <w:sz w:val="20"/>
              </w:rPr>
              <w:t>Cap the self-serve tier at three seats</w:t>
            </w:r>
          </w:p>
        </w:tc>
      </w:tr>
      <w:tr>
        <w:tc>
          <w:tcPr>
            <w:tcW w:type="dxa" w:w="2664"/>
          </w:tcPr>
          <w:p>
            <w:r/>
            <w:r>
              <w:rPr>
                <w:rFonts w:ascii="Georgia" w:hAnsi="Georgia" w:cs="Georgia" w:eastAsia="Georgia"/>
                <w:b w:val="0"/>
                <w:i/>
                <w:color w:val="6B6A63"/>
                <w:sz w:val="20"/>
              </w:rPr>
              <w:t>VAT and sales tax in two countries</w:t>
            </w:r>
          </w:p>
        </w:tc>
        <w:tc>
          <w:tcPr>
            <w:tcW w:type="dxa" w:w="1584"/>
          </w:tcPr>
          <w:p>
            <w:r/>
            <w:r>
              <w:rPr>
                <w:rFonts w:ascii="Georgia" w:hAnsi="Georgia" w:cs="Georgia" w:eastAsia="Georgia"/>
                <w:b w:val="0"/>
                <w:i/>
                <w:color w:val="6B6A63"/>
                <w:sz w:val="20"/>
              </w:rPr>
              <w:t>Legal</w:t>
            </w:r>
          </w:p>
        </w:tc>
        <w:tc>
          <w:tcPr>
            <w:tcW w:type="dxa" w:w="504"/>
          </w:tcPr>
          <w:p>
            <w:r/>
            <w:r>
              <w:rPr>
                <w:rFonts w:ascii="Georgia" w:hAnsi="Georgia" w:cs="Georgia" w:eastAsia="Georgia"/>
                <w:b w:val="0"/>
                <w:i/>
                <w:color w:val="6B6A63"/>
                <w:sz w:val="20"/>
              </w:rPr>
              <w:t>2</w:t>
            </w:r>
          </w:p>
        </w:tc>
        <w:tc>
          <w:tcPr>
            <w:tcW w:type="dxa" w:w="504"/>
          </w:tcPr>
          <w:p>
            <w:r/>
            <w:r>
              <w:rPr>
                <w:rFonts w:ascii="Georgia" w:hAnsi="Georgia" w:cs="Georgia" w:eastAsia="Georgia"/>
                <w:b w:val="0"/>
                <w:i/>
                <w:color w:val="6B6A63"/>
                <w:sz w:val="20"/>
              </w:rPr>
              <w:t>3</w:t>
            </w:r>
          </w:p>
        </w:tc>
        <w:tc>
          <w:tcPr>
            <w:tcW w:type="dxa" w:w="936"/>
          </w:tcPr>
          <w:p>
            <w:r/>
            <w:r>
              <w:rPr>
                <w:rFonts w:ascii="Georgia" w:hAnsi="Georgia" w:cs="Georgia" w:eastAsia="Georgia"/>
                <w:b w:val="0"/>
                <w:i/>
                <w:color w:val="6B6A63"/>
                <w:sz w:val="20"/>
              </w:rPr>
              <w:t>6</w:t>
            </w:r>
          </w:p>
        </w:tc>
        <w:tc>
          <w:tcPr>
            <w:tcW w:type="dxa" w:w="3888"/>
          </w:tcPr>
          <w:p>
            <w:r/>
            <w:r>
              <w:rPr>
                <w:rFonts w:ascii="Georgia" w:hAnsi="Georgia" w:cs="Georgia" w:eastAsia="Georgia"/>
                <w:b w:val="0"/>
                <w:i/>
                <w:color w:val="6B6A63"/>
                <w:sz w:val="20"/>
              </w:rPr>
              <w:t>Bill through a merchant-of-record provider</w:t>
            </w:r>
          </w:p>
        </w:tc>
      </w:tr>
      <w:tr>
        <w:tc>
          <w:tcPr>
            <w:tcW w:type="dxa" w:w="2664"/>
          </w:tcPr>
          <w:p>
            <w:r/>
            <w:r>
              <w:rPr>
                <w:rFonts w:ascii="Georgia" w:hAnsi="Georgia" w:cs="Georgia" w:eastAsia="Georgia"/>
                <w:b w:val="0"/>
                <w:i/>
                <w:color w:val="6B6A63"/>
                <w:sz w:val="20"/>
              </w:rPr>
              <w:t>Onboarding build overruns four months</w:t>
            </w:r>
          </w:p>
        </w:tc>
        <w:tc>
          <w:tcPr>
            <w:tcW w:type="dxa" w:w="1584"/>
          </w:tcPr>
          <w:p>
            <w:r/>
            <w:r>
              <w:rPr>
                <w:rFonts w:ascii="Georgia" w:hAnsi="Georgia" w:cs="Georgia" w:eastAsia="Georgia"/>
                <w:b w:val="0"/>
                <w:i/>
                <w:color w:val="6B6A63"/>
                <w:sz w:val="20"/>
              </w:rPr>
              <w:t>Technical</w:t>
            </w:r>
          </w:p>
        </w:tc>
        <w:tc>
          <w:tcPr>
            <w:tcW w:type="dxa" w:w="504"/>
          </w:tcPr>
          <w:p>
            <w:r/>
            <w:r>
              <w:rPr>
                <w:rFonts w:ascii="Georgia" w:hAnsi="Georgia" w:cs="Georgia" w:eastAsia="Georgia"/>
                <w:b w:val="0"/>
                <w:i/>
                <w:color w:val="6B6A63"/>
                <w:sz w:val="20"/>
              </w:rPr>
              <w:t>3</w:t>
            </w:r>
          </w:p>
        </w:tc>
        <w:tc>
          <w:tcPr>
            <w:tcW w:type="dxa" w:w="504"/>
          </w:tcPr>
          <w:p>
            <w:r/>
            <w:r>
              <w:rPr>
                <w:rFonts w:ascii="Georgia" w:hAnsi="Georgia" w:cs="Georgia" w:eastAsia="Georgia"/>
                <w:b w:val="0"/>
                <w:i/>
                <w:color w:val="6B6A63"/>
                <w:sz w:val="20"/>
              </w:rPr>
              <w:t>2</w:t>
            </w:r>
          </w:p>
        </w:tc>
        <w:tc>
          <w:tcPr>
            <w:tcW w:type="dxa" w:w="936"/>
          </w:tcPr>
          <w:p>
            <w:r/>
            <w:r>
              <w:rPr>
                <w:rFonts w:ascii="Georgia" w:hAnsi="Georgia" w:cs="Georgia" w:eastAsia="Georgia"/>
                <w:b w:val="0"/>
                <w:i/>
                <w:color w:val="6B6A63"/>
                <w:sz w:val="20"/>
              </w:rPr>
              <w:t>6</w:t>
            </w:r>
          </w:p>
        </w:tc>
        <w:tc>
          <w:tcPr>
            <w:tcW w:type="dxa" w:w="3888"/>
          </w:tcPr>
          <w:p>
            <w:r/>
            <w:r>
              <w:rPr>
                <w:rFonts w:ascii="Georgia" w:hAnsi="Georgia" w:cs="Georgia" w:eastAsia="Georgia"/>
                <w:b w:val="0"/>
                <w:i/>
                <w:color w:val="6B6A63"/>
                <w:sz w:val="20"/>
              </w:rPr>
              <w:t>Fixed-scope first release; cut features before moving dates</w:t>
            </w:r>
          </w:p>
        </w:tc>
      </w:tr>
    </w:tbl>
    <w:p>
      <w:pPr>
        <w:spacing w:after="80"/>
      </w:pPr>
    </w:p>
    <w:p>
      <w:pPr>
        <w:keepNext/>
        <w:spacing w:after="80" w:before="280"/>
      </w:pPr>
      <w:r>
        <w:rPr>
          <w:rFonts w:ascii="Georgia" w:hAnsi="Georgia" w:cs="Georgia" w:eastAsia="Georgia"/>
          <w:b/>
          <w:color w:val="17181B"/>
          <w:sz w:val="30"/>
        </w:rPr>
        <w:t>9. Findings and recommendations</w:t>
      </w:r>
    </w:p>
    <w:p>
      <w:pPr>
        <w:spacing w:after="120"/>
      </w:pPr>
      <w:r>
        <w:rPr>
          <w:rFonts w:ascii="Georgia" w:hAnsi="Georgia" w:cs="Georgia" w:eastAsia="Georgia"/>
          <w:i/>
          <w:color w:val="6B6A63"/>
          <w:sz w:val="22"/>
        </w:rPr>
        <w:t>The weighted scorecard, the verdict it produces, and the likelihood of success. Thresholds: 3.75 and up = go; 3.00 to 3.74 = conditional go; under 3.00 = no-go.</w:t>
      </w:r>
    </w:p>
    <w:tbl>
      <w:tblPr>
        <w:tblStyle w:val="TableGrid"/>
        <w:tblW w:type="auto" w:w="0"/>
        <w:tblLayout w:type="fixed"/>
        <w:tblLook w:firstColumn="1" w:firstRow="1" w:lastColumn="0" w:lastRow="0" w:noHBand="0" w:noVBand="1" w:val="04A0"/>
      </w:tblPr>
      <w:tblGrid>
        <w:gridCol w:w="1584"/>
        <w:gridCol w:w="1080"/>
        <w:gridCol w:w="936"/>
        <w:gridCol w:w="1512"/>
        <w:gridCol w:w="4968"/>
      </w:tblGrid>
      <w:tr>
        <w:tc>
          <w:tcPr>
            <w:tcW w:type="dxa" w:w="1584"/>
            <w:shd w:val="clear" w:fill="17181B"/>
          </w:tcPr>
          <w:p>
            <w:r/>
            <w:r>
              <w:rPr>
                <w:rFonts w:ascii="Consolas" w:hAnsi="Consolas" w:cs="Consolas" w:eastAsia="Consolas"/>
                <w:b/>
                <w:i w:val="0"/>
                <w:color w:val="FFFFFF"/>
                <w:sz w:val="18"/>
              </w:rPr>
              <w:t>DIMENSION</w:t>
            </w:r>
          </w:p>
        </w:tc>
        <w:tc>
          <w:tcPr>
            <w:tcW w:type="dxa" w:w="1080"/>
            <w:shd w:val="clear" w:fill="17181B"/>
          </w:tcPr>
          <w:p>
            <w:r/>
            <w:r>
              <w:rPr>
                <w:rFonts w:ascii="Consolas" w:hAnsi="Consolas" w:cs="Consolas" w:eastAsia="Consolas"/>
                <w:b/>
                <w:i w:val="0"/>
                <w:color w:val="FFFFFF"/>
                <w:sz w:val="18"/>
              </w:rPr>
              <w:t>WEIGHT</w:t>
            </w:r>
          </w:p>
        </w:tc>
        <w:tc>
          <w:tcPr>
            <w:tcW w:type="dxa" w:w="936"/>
            <w:shd w:val="clear" w:fill="17181B"/>
          </w:tcPr>
          <w:p>
            <w:r/>
            <w:r>
              <w:rPr>
                <w:rFonts w:ascii="Consolas" w:hAnsi="Consolas" w:cs="Consolas" w:eastAsia="Consolas"/>
                <w:b/>
                <w:i w:val="0"/>
                <w:color w:val="FFFFFF"/>
                <w:sz w:val="18"/>
              </w:rPr>
              <w:t>SCORE</w:t>
            </w:r>
          </w:p>
        </w:tc>
        <w:tc>
          <w:tcPr>
            <w:tcW w:type="dxa" w:w="1512"/>
            <w:shd w:val="clear" w:fill="17181B"/>
          </w:tcPr>
          <w:p>
            <w:r/>
            <w:r>
              <w:rPr>
                <w:rFonts w:ascii="Consolas" w:hAnsi="Consolas" w:cs="Consolas" w:eastAsia="Consolas"/>
                <w:b/>
                <w:i w:val="0"/>
                <w:color w:val="FFFFFF"/>
                <w:sz w:val="18"/>
              </w:rPr>
              <w:t>WEIGHTED</w:t>
            </w:r>
          </w:p>
        </w:tc>
        <w:tc>
          <w:tcPr>
            <w:tcW w:type="dxa" w:w="4968"/>
            <w:shd w:val="clear" w:fill="17181B"/>
          </w:tcPr>
          <w:p>
            <w:r/>
            <w:r>
              <w:rPr>
                <w:rFonts w:ascii="Consolas" w:hAnsi="Consolas" w:cs="Consolas" w:eastAsia="Consolas"/>
                <w:b/>
                <w:i w:val="0"/>
                <w:color w:val="FFFFFF"/>
                <w:sz w:val="18"/>
              </w:rPr>
              <w:t>EVIDENCE</w:t>
            </w:r>
          </w:p>
        </w:tc>
      </w:tr>
      <w:tr>
        <w:tc>
          <w:tcPr>
            <w:tcW w:type="dxa" w:w="1584"/>
          </w:tcPr>
          <w:p>
            <w:r/>
            <w:r>
              <w:rPr>
                <w:rFonts w:ascii="Georgia" w:hAnsi="Georgia" w:cs="Georgia" w:eastAsia="Georgia"/>
                <w:b w:val="0"/>
                <w:i/>
                <w:color w:val="6B6A63"/>
                <w:sz w:val="20"/>
              </w:rPr>
              <w:t>Market</w:t>
            </w:r>
          </w:p>
        </w:tc>
        <w:tc>
          <w:tcPr>
            <w:tcW w:type="dxa" w:w="1080"/>
          </w:tcPr>
          <w:p>
            <w:r/>
            <w:r>
              <w:rPr>
                <w:rFonts w:ascii="Georgia" w:hAnsi="Georgia" w:cs="Georgia" w:eastAsia="Georgia"/>
                <w:b w:val="0"/>
                <w:i/>
                <w:color w:val="6B6A63"/>
                <w:sz w:val="20"/>
              </w:rPr>
              <w:t>30%</w:t>
            </w:r>
          </w:p>
        </w:tc>
        <w:tc>
          <w:tcPr>
            <w:tcW w:type="dxa" w:w="936"/>
          </w:tcPr>
          <w:p>
            <w:r/>
            <w:r>
              <w:rPr>
                <w:rFonts w:ascii="Georgia" w:hAnsi="Georgia" w:cs="Georgia" w:eastAsia="Georgia"/>
                <w:b w:val="0"/>
                <w:i/>
                <w:color w:val="6B6A63"/>
                <w:sz w:val="20"/>
              </w:rPr>
              <w:t>4</w:t>
            </w:r>
          </w:p>
        </w:tc>
        <w:tc>
          <w:tcPr>
            <w:tcW w:type="dxa" w:w="1512"/>
          </w:tcPr>
          <w:p>
            <w:r/>
            <w:r>
              <w:rPr>
                <w:rFonts w:ascii="Georgia" w:hAnsi="Georgia" w:cs="Georgia" w:eastAsia="Georgia"/>
                <w:b w:val="0"/>
                <w:i/>
                <w:color w:val="6B6A63"/>
                <w:sz w:val="20"/>
              </w:rPr>
              <w:t>1.20</w:t>
            </w:r>
          </w:p>
        </w:tc>
        <w:tc>
          <w:tcPr>
            <w:tcW w:type="dxa" w:w="4968"/>
          </w:tcPr>
          <w:p>
            <w:r/>
            <w:r>
              <w:rPr>
                <w:rFonts w:ascii="Georgia" w:hAnsi="Georgia" w:cs="Georgia" w:eastAsia="Georgia"/>
                <w:b w:val="0"/>
                <w:i/>
                <w:color w:val="6B6A63"/>
                <w:sz w:val="20"/>
              </w:rPr>
              <w:t>Rivals charge $39 to $79; 14 of 20 agencies interviewed named the reporting pain unprompted</w:t>
            </w:r>
          </w:p>
        </w:tc>
      </w:tr>
      <w:tr>
        <w:tc>
          <w:tcPr>
            <w:tcW w:type="dxa" w:w="1584"/>
          </w:tcPr>
          <w:p>
            <w:r/>
            <w:r>
              <w:rPr>
                <w:rFonts w:ascii="Georgia" w:hAnsi="Georgia" w:cs="Georgia" w:eastAsia="Georgia"/>
                <w:b w:val="0"/>
                <w:i/>
                <w:color w:val="6B6A63"/>
                <w:sz w:val="20"/>
              </w:rPr>
              <w:t>Technical</w:t>
            </w:r>
          </w:p>
        </w:tc>
        <w:tc>
          <w:tcPr>
            <w:tcW w:type="dxa" w:w="1080"/>
          </w:tcPr>
          <w:p>
            <w:r/>
            <w:r>
              <w:rPr>
                <w:rFonts w:ascii="Georgia" w:hAnsi="Georgia" w:cs="Georgia" w:eastAsia="Georgia"/>
                <w:b w:val="0"/>
                <w:i/>
                <w:color w:val="6B6A63"/>
                <w:sz w:val="20"/>
              </w:rPr>
              <w:t>20%</w:t>
            </w:r>
          </w:p>
        </w:tc>
        <w:tc>
          <w:tcPr>
            <w:tcW w:type="dxa" w:w="936"/>
          </w:tcPr>
          <w:p>
            <w:r/>
            <w:r>
              <w:rPr>
                <w:rFonts w:ascii="Georgia" w:hAnsi="Georgia" w:cs="Georgia" w:eastAsia="Georgia"/>
                <w:b w:val="0"/>
                <w:i/>
                <w:color w:val="6B6A63"/>
                <w:sz w:val="20"/>
              </w:rPr>
              <w:t>4</w:t>
            </w:r>
          </w:p>
        </w:tc>
        <w:tc>
          <w:tcPr>
            <w:tcW w:type="dxa" w:w="1512"/>
          </w:tcPr>
          <w:p>
            <w:r/>
            <w:r>
              <w:rPr>
                <w:rFonts w:ascii="Georgia" w:hAnsi="Georgia" w:cs="Georgia" w:eastAsia="Georgia"/>
                <w:b w:val="0"/>
                <w:i/>
                <w:color w:val="6B6A63"/>
                <w:sz w:val="20"/>
              </w:rPr>
              <w:t>0.80</w:t>
            </w:r>
          </w:p>
        </w:tc>
        <w:tc>
          <w:tcPr>
            <w:tcW w:type="dxa" w:w="4968"/>
          </w:tcPr>
          <w:p>
            <w:r/>
            <w:r>
              <w:rPr>
                <w:rFonts w:ascii="Georgia" w:hAnsi="Georgia" w:cs="Georgia" w:eastAsia="Georgia"/>
                <w:b w:val="0"/>
                <w:i/>
                <w:color w:val="6B6A63"/>
                <w:sz w:val="20"/>
              </w:rPr>
              <w:t>Onboarding reuses the existing reporting engine; four-month build</w:t>
            </w:r>
          </w:p>
        </w:tc>
      </w:tr>
      <w:tr>
        <w:tc>
          <w:tcPr>
            <w:tcW w:type="dxa" w:w="1584"/>
          </w:tcPr>
          <w:p>
            <w:r/>
            <w:r>
              <w:rPr>
                <w:rFonts w:ascii="Georgia" w:hAnsi="Georgia" w:cs="Georgia" w:eastAsia="Georgia"/>
                <w:b w:val="0"/>
                <w:i/>
                <w:color w:val="6B6A63"/>
                <w:sz w:val="20"/>
              </w:rPr>
              <w:t>Financial</w:t>
            </w:r>
          </w:p>
        </w:tc>
        <w:tc>
          <w:tcPr>
            <w:tcW w:type="dxa" w:w="1080"/>
          </w:tcPr>
          <w:p>
            <w:r/>
            <w:r>
              <w:rPr>
                <w:rFonts w:ascii="Georgia" w:hAnsi="Georgia" w:cs="Georgia" w:eastAsia="Georgia"/>
                <w:b w:val="0"/>
                <w:i/>
                <w:color w:val="6B6A63"/>
                <w:sz w:val="20"/>
              </w:rPr>
              <w:t>25%</w:t>
            </w:r>
          </w:p>
        </w:tc>
        <w:tc>
          <w:tcPr>
            <w:tcW w:type="dxa" w:w="936"/>
          </w:tcPr>
          <w:p>
            <w:r/>
            <w:r>
              <w:rPr>
                <w:rFonts w:ascii="Georgia" w:hAnsi="Georgia" w:cs="Georgia" w:eastAsia="Georgia"/>
                <w:b w:val="0"/>
                <w:i/>
                <w:color w:val="6B6A63"/>
                <w:sz w:val="20"/>
              </w:rPr>
              <w:t>3</w:t>
            </w:r>
          </w:p>
        </w:tc>
        <w:tc>
          <w:tcPr>
            <w:tcW w:type="dxa" w:w="1512"/>
          </w:tcPr>
          <w:p>
            <w:r/>
            <w:r>
              <w:rPr>
                <w:rFonts w:ascii="Georgia" w:hAnsi="Georgia" w:cs="Georgia" w:eastAsia="Georgia"/>
                <w:b w:val="0"/>
                <w:i/>
                <w:color w:val="6B6A63"/>
                <w:sz w:val="20"/>
              </w:rPr>
              <w:t>0.75</w:t>
            </w:r>
          </w:p>
        </w:tc>
        <w:tc>
          <w:tcPr>
            <w:tcW w:type="dxa" w:w="4968"/>
          </w:tcPr>
          <w:p>
            <w:r/>
            <w:r>
              <w:rPr>
                <w:rFonts w:ascii="Georgia" w:hAnsi="Georgia" w:cs="Georgia" w:eastAsia="Georgia"/>
                <w:b w:val="0"/>
                <w:i/>
                <w:color w:val="6B6A63"/>
                <w:sz w:val="20"/>
              </w:rPr>
              <w:t>NPV of $53,858 turns negative on a 9% demand miss</w:t>
            </w:r>
          </w:p>
        </w:tc>
      </w:tr>
      <w:tr>
        <w:tc>
          <w:tcPr>
            <w:tcW w:type="dxa" w:w="1584"/>
          </w:tcPr>
          <w:p>
            <w:r/>
            <w:r>
              <w:rPr>
                <w:rFonts w:ascii="Georgia" w:hAnsi="Georgia" w:cs="Georgia" w:eastAsia="Georgia"/>
                <w:b w:val="0"/>
                <w:i/>
                <w:color w:val="6B6A63"/>
                <w:sz w:val="20"/>
              </w:rPr>
              <w:t>Operational</w:t>
            </w:r>
          </w:p>
        </w:tc>
        <w:tc>
          <w:tcPr>
            <w:tcW w:type="dxa" w:w="1080"/>
          </w:tcPr>
          <w:p>
            <w:r/>
            <w:r>
              <w:rPr>
                <w:rFonts w:ascii="Georgia" w:hAnsi="Georgia" w:cs="Georgia" w:eastAsia="Georgia"/>
                <w:b w:val="0"/>
                <w:i/>
                <w:color w:val="6B6A63"/>
                <w:sz w:val="20"/>
              </w:rPr>
              <w:t>15%</w:t>
            </w:r>
          </w:p>
        </w:tc>
        <w:tc>
          <w:tcPr>
            <w:tcW w:type="dxa" w:w="936"/>
          </w:tcPr>
          <w:p>
            <w:r/>
            <w:r>
              <w:rPr>
                <w:rFonts w:ascii="Georgia" w:hAnsi="Georgia" w:cs="Georgia" w:eastAsia="Georgia"/>
                <w:b w:val="0"/>
                <w:i/>
                <w:color w:val="6B6A63"/>
                <w:sz w:val="20"/>
              </w:rPr>
              <w:t>3</w:t>
            </w:r>
          </w:p>
        </w:tc>
        <w:tc>
          <w:tcPr>
            <w:tcW w:type="dxa" w:w="1512"/>
          </w:tcPr>
          <w:p>
            <w:r/>
            <w:r>
              <w:rPr>
                <w:rFonts w:ascii="Georgia" w:hAnsi="Georgia" w:cs="Georgia" w:eastAsia="Georgia"/>
                <w:b w:val="0"/>
                <w:i/>
                <w:color w:val="6B6A63"/>
                <w:sz w:val="20"/>
              </w:rPr>
              <w:t>0.45</w:t>
            </w:r>
          </w:p>
        </w:tc>
        <w:tc>
          <w:tcPr>
            <w:tcW w:type="dxa" w:w="4968"/>
          </w:tcPr>
          <w:p>
            <w:r/>
            <w:r>
              <w:rPr>
                <w:rFonts w:ascii="Georgia" w:hAnsi="Georgia" w:cs="Georgia" w:eastAsia="Georgia"/>
                <w:b w:val="0"/>
                <w:i/>
                <w:color w:val="6B6A63"/>
                <w:sz w:val="20"/>
              </w:rPr>
              <w:t>Needs one support hire; no help centre yet</w:t>
            </w:r>
          </w:p>
        </w:tc>
      </w:tr>
      <w:tr>
        <w:tc>
          <w:tcPr>
            <w:tcW w:type="dxa" w:w="1584"/>
          </w:tcPr>
          <w:p>
            <w:r/>
            <w:r>
              <w:rPr>
                <w:rFonts w:ascii="Georgia" w:hAnsi="Georgia" w:cs="Georgia" w:eastAsia="Georgia"/>
                <w:b w:val="0"/>
                <w:i/>
                <w:color w:val="6B6A63"/>
                <w:sz w:val="20"/>
              </w:rPr>
              <w:t>Legal</w:t>
            </w:r>
          </w:p>
        </w:tc>
        <w:tc>
          <w:tcPr>
            <w:tcW w:type="dxa" w:w="1080"/>
          </w:tcPr>
          <w:p>
            <w:r/>
            <w:r>
              <w:rPr>
                <w:rFonts w:ascii="Georgia" w:hAnsi="Georgia" w:cs="Georgia" w:eastAsia="Georgia"/>
                <w:b w:val="0"/>
                <w:i/>
                <w:color w:val="6B6A63"/>
                <w:sz w:val="20"/>
              </w:rPr>
              <w:t>10%</w:t>
            </w:r>
          </w:p>
        </w:tc>
        <w:tc>
          <w:tcPr>
            <w:tcW w:type="dxa" w:w="936"/>
          </w:tcPr>
          <w:p>
            <w:r/>
            <w:r>
              <w:rPr>
                <w:rFonts w:ascii="Georgia" w:hAnsi="Georgia" w:cs="Georgia" w:eastAsia="Georgia"/>
                <w:b w:val="0"/>
                <w:i/>
                <w:color w:val="6B6A63"/>
                <w:sz w:val="20"/>
              </w:rPr>
              <w:t>4</w:t>
            </w:r>
          </w:p>
        </w:tc>
        <w:tc>
          <w:tcPr>
            <w:tcW w:type="dxa" w:w="1512"/>
          </w:tcPr>
          <w:p>
            <w:r/>
            <w:r>
              <w:rPr>
                <w:rFonts w:ascii="Georgia" w:hAnsi="Georgia" w:cs="Georgia" w:eastAsia="Georgia"/>
                <w:b w:val="0"/>
                <w:i/>
                <w:color w:val="6B6A63"/>
                <w:sz w:val="20"/>
              </w:rPr>
              <w:t>0.40</w:t>
            </w:r>
          </w:p>
        </w:tc>
        <w:tc>
          <w:tcPr>
            <w:tcW w:type="dxa" w:w="4968"/>
          </w:tcPr>
          <w:p>
            <w:r/>
            <w:r>
              <w:rPr>
                <w:rFonts w:ascii="Georgia" w:hAnsi="Georgia" w:cs="Georgia" w:eastAsia="Georgia"/>
                <w:b w:val="0"/>
                <w:i/>
                <w:color w:val="6B6A63"/>
                <w:sz w:val="20"/>
              </w:rPr>
              <w:t>Card billing in two countries needs VAT and sales-tax compliance</w:t>
            </w:r>
          </w:p>
        </w:tc>
      </w:tr>
      <w:tr>
        <w:tc>
          <w:tcPr>
            <w:tcW w:type="dxa" w:w="1584"/>
          </w:tcPr>
          <w:p>
            <w:r/>
            <w:r>
              <w:rPr>
                <w:rFonts w:ascii="Georgia" w:hAnsi="Georgia" w:cs="Georgia" w:eastAsia="Georgia"/>
                <w:b/>
                <w:i/>
                <w:color w:val="6B6A63"/>
                <w:sz w:val="20"/>
              </w:rPr>
              <w:t>Total</w:t>
            </w:r>
          </w:p>
        </w:tc>
        <w:tc>
          <w:tcPr>
            <w:tcW w:type="dxa" w:w="1080"/>
          </w:tcPr>
          <w:p>
            <w:r/>
            <w:r>
              <w:rPr>
                <w:rFonts w:ascii="Georgia" w:hAnsi="Georgia" w:cs="Georgia" w:eastAsia="Georgia"/>
                <w:b/>
                <w:i/>
                <w:color w:val="6B6A63"/>
                <w:sz w:val="20"/>
              </w:rPr>
              <w:t>100%</w:t>
            </w:r>
          </w:p>
        </w:tc>
        <w:tc>
          <w:tcPr>
            <w:tcW w:type="dxa" w:w="936"/>
          </w:tcPr>
          <w:p>
            <w:r/>
            <w:r>
              <w:rPr>
                <w:rFonts w:ascii="Georgia" w:hAnsi="Georgia" w:cs="Georgia" w:eastAsia="Georgia"/>
                <w:b/>
                <w:i/>
                <w:color w:val="6B6A63"/>
                <w:sz w:val="20"/>
              </w:rPr>
            </w:r>
          </w:p>
        </w:tc>
        <w:tc>
          <w:tcPr>
            <w:tcW w:type="dxa" w:w="1512"/>
          </w:tcPr>
          <w:p>
            <w:r/>
            <w:r>
              <w:rPr>
                <w:rFonts w:ascii="Georgia" w:hAnsi="Georgia" w:cs="Georgia" w:eastAsia="Georgia"/>
                <w:b/>
                <w:i/>
                <w:color w:val="6B6A63"/>
                <w:sz w:val="20"/>
              </w:rPr>
              <w:t>3.60</w:t>
            </w:r>
          </w:p>
        </w:tc>
        <w:tc>
          <w:tcPr>
            <w:tcW w:type="dxa" w:w="4968"/>
          </w:tcPr>
          <w:p>
            <w:r/>
            <w:r>
              <w:rPr>
                <w:rFonts w:ascii="Georgia" w:hAnsi="Georgia" w:cs="Georgia" w:eastAsia="Georgia"/>
                <w:b/>
                <w:i/>
                <w:color w:val="6B6A63"/>
                <w:sz w:val="20"/>
              </w:rPr>
              <w:t>Conditional go</w:t>
            </w:r>
          </w:p>
        </w:tc>
      </w:tr>
    </w:tbl>
    <w:p>
      <w:pPr>
        <w:spacing w:after="80"/>
      </w:pPr>
    </w:p>
    <w:p>
      <w:pPr>
        <w:spacing w:after="120"/>
      </w:pPr>
      <w:r>
        <w:rPr>
          <w:rFonts w:ascii="Georgia" w:hAnsi="Georgia" w:cs="Georgia" w:eastAsia="Georgia"/>
          <w:b/>
          <w:i/>
          <w:color w:val="17181B"/>
          <w:sz w:val="21"/>
        </w:rPr>
        <w:t xml:space="preserve">Recommendation: </w:t>
      </w:r>
      <w:r>
        <w:rPr>
          <w:rFonts w:ascii="Georgia" w:hAnsi="Georgia" w:cs="Georgia" w:eastAsia="Georgia"/>
          <w:i/>
          <w:color w:val="6B6A63"/>
          <w:sz w:val="21"/>
        </w:rPr>
        <w:t>Conditional go. At 3.60, held back by its financial feasibility score, the project clears the conditional band. The likelihood of success rests on demand: a 90-day pilot must reach 100 paying accounts before the $35,000 of launch funding is released. If the pilot misses, stop and keep the $35,000.</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eastAsia="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