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  <Override ContentType="application/vnd.openxmlformats-officedocument.wordprocessingml.footer+xml" PartName="/word/footer1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60"/>
      </w:pPr>
      <w:r>
        <w:rPr>
          <w:rFonts w:ascii="Consolas" w:cs="Consolas" w:eastAsia="Consolas" w:hAnsi="Consolas"/>
          <w:b/>
          <w:bCs/>
          <w:color w:val="FFFFFF"/>
          <w:sz w:val="20"/>
          <w:szCs w:val="20"/>
          <w:shd w:fill="17181B" w:val="clear"/>
        </w:rPr>
        <w:t xml:space="preserve">MI</w:t>
      </w:r>
      <w:r>
        <w:rPr>
          <w:rFonts w:ascii="Consolas" w:cs="Consolas" w:eastAsia="Consolas" w:hAnsi="Consolas"/>
          <w:b/>
          <w:bCs/>
          <w:color w:val="17181B"/>
          <w:sz w:val="20"/>
          <w:szCs w:val="20"/>
        </w:rPr>
        <w:t xml:space="preserve">  MARKET INTELLIGENCE TOOLS</w:t>
      </w:r>
      <w:r>
        <w:rPr>
          <w:rFonts w:ascii="Consolas" w:cs="Consolas" w:eastAsia="Consolas" w:hAnsi="Consolas"/>
          <w:color w:val="6B6A63"/>
          <w:sz w:val="18"/>
          <w:szCs w:val="18"/>
        </w:rPr>
        <w:t xml:space="preserve">   ·   marketintelligencetools.com/templates/</w:t>
      </w:r>
    </w:p>
    <w:p>
      <w:pPr>
        <w:pBdr>
          <w:bottom w:val="single" w:color="D9A04B" w:sz="12"/>
        </w:pBdr>
        <w:spacing w:after="240"/>
      </w:pPr>
    </w:p>
    <w:p>
      <w:pPr>
        <w:spacing w:after="60"/>
      </w:pPr>
      <w:r>
        <w:rPr>
          <w:rFonts w:ascii="Georgia" w:cs="Georgia" w:eastAsia="Georgia" w:hAnsi="Georgia"/>
          <w:b/>
          <w:bCs/>
          <w:color w:val="17181B"/>
          <w:sz w:val="52"/>
          <w:szCs w:val="52"/>
        </w:rPr>
        <w:t xml:space="preserve">Market Sizing Report</w:t>
      </w:r>
    </w:p>
    <w:p>
      <w:pPr>
        <w:spacing w:after="280"/>
      </w:pPr>
      <w:r>
        <w:rPr>
          <w:rFonts w:ascii="Georgia" w:cs="Georgia" w:eastAsia="Georgia" w:hAnsi="Georgia"/>
          <w:i/>
          <w:iCs/>
          <w:color w:val="6B6A63"/>
          <w:sz w:val="22"/>
          <w:szCs w:val="22"/>
        </w:rPr>
        <w:t xml:space="preserve">One page: structure first, calculate second, sense check third. Round numbers; precision fakes accuracy.</w:t>
      </w:r>
    </w:p>
    <w:tbl>
      <w:tblPr>
        <w:tblW w:type="dxa" w:w="1008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600"/>
        <w:gridCol w:w="6480"/>
      </w:tblGrid>
      <w:tr>
        <w:trPr>
          <w:tblHeader/>
        </w:trPr>
        <w:tc>
          <w:tcPr>
            <w:tcW w:type="dxa" w:w="3600"/>
            <w:shd w:fill="17181B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/>
            </w:pPr>
            <w:r>
              <w:rPr>
                <w:rFonts w:ascii="Consolas" w:cs="Consolas" w:eastAsia="Consolas" w:hAnsi="Consolas"/>
                <w:b/>
                <w:bCs/>
                <w:i w:val="false"/>
                <w:iCs w:val="false"/>
                <w:color w:val="FFFFFF"/>
                <w:sz w:val="18"/>
                <w:szCs w:val="18"/>
              </w:rPr>
              <w:t xml:space="preserve">FIELD</w:t>
            </w:r>
          </w:p>
        </w:tc>
        <w:tc>
          <w:tcPr>
            <w:tcW w:type="dxa" w:w="6480"/>
            <w:shd w:fill="17181B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/>
            </w:pPr>
            <w:r>
              <w:rPr>
                <w:rFonts w:ascii="Consolas" w:cs="Consolas" w:eastAsia="Consolas" w:hAnsi="Consolas"/>
                <w:b/>
                <w:bCs/>
                <w:i w:val="false"/>
                <w:iCs w:val="false"/>
                <w:color w:val="FFFFFF"/>
                <w:sz w:val="18"/>
                <w:szCs w:val="18"/>
              </w:rPr>
              <w:t xml:space="preserve">ANSWER</w:t>
            </w:r>
          </w:p>
        </w:tc>
      </w:tr>
      <w:tr>
        <w:tc>
          <w:tcPr>
            <w:tcW w:type="dxa" w:w="3600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/>
            </w:pPr>
            <w:r>
              <w:rPr>
                <w:rFonts w:ascii="Georgia" w:cs="Georgia" w:eastAsia="Georgia" w:hAnsi="Georgia"/>
                <w:b w:val="false"/>
                <w:bCs w:val="false"/>
                <w:i w:val="false"/>
                <w:iCs w:val="false"/>
                <w:color w:val="3A3935"/>
                <w:sz w:val="20"/>
                <w:szCs w:val="20"/>
              </w:rPr>
              <w:t xml:space="preserve">Market being sized</w:t>
            </w:r>
          </w:p>
        </w:tc>
        <w:tc>
          <w:tcPr>
            <w:tcW w:type="dxa" w:w="6480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/>
            </w:pPr>
            <w:r>
              <w:rPr>
                <w:rFonts w:ascii="Georgia" w:cs="Georgia" w:eastAsia="Georgia" w:hAnsi="Georgia"/>
                <w:b w:val="false"/>
                <w:bCs w:val="false"/>
                <w:i/>
                <w:iCs/>
                <w:color w:val="6B6A63"/>
                <w:sz w:val="20"/>
                <w:szCs w:val="20"/>
              </w:rPr>
              <w:t xml:space="preserve">e.g. US mid-market payroll software</w:t>
            </w:r>
          </w:p>
        </w:tc>
      </w:tr>
      <w:tr>
        <w:tc>
          <w:tcPr>
            <w:tcW w:type="dxa" w:w="3600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/>
            </w:pPr>
            <w:r>
              <w:rPr>
                <w:rFonts w:ascii="Georgia" w:cs="Georgia" w:eastAsia="Georgia" w:hAnsi="Georgia"/>
                <w:b w:val="false"/>
                <w:bCs w:val="false"/>
                <w:i w:val="false"/>
                <w:iCs w:val="false"/>
                <w:color w:val="3A3935"/>
                <w:sz w:val="20"/>
                <w:szCs w:val="20"/>
              </w:rPr>
              <w:t xml:space="preserve">Definition of the relevant market</w:t>
            </w:r>
          </w:p>
        </w:tc>
        <w:tc>
          <w:tcPr>
            <w:tcW w:type="dxa" w:w="6480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/>
            </w:pPr>
            <w:r>
              <w:rPr>
                <w:rFonts w:ascii="Georgia" w:cs="Georgia" w:eastAsia="Georgia" w:hAnsi="Georgia"/>
                <w:b w:val="false"/>
                <w:bCs w:val="false"/>
                <w:i w:val="false"/>
                <w:iCs w:val="false"/>
                <w:color w:val="3A3935"/>
                <w:sz w:val="20"/>
                <w:szCs w:val="20"/>
              </w:rPr>
              <w:t xml:space="preserve"/>
            </w:r>
          </w:p>
        </w:tc>
      </w:tr>
      <w:tr>
        <w:tc>
          <w:tcPr>
            <w:tcW w:type="dxa" w:w="3600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/>
            </w:pPr>
            <w:r>
              <w:rPr>
                <w:rFonts w:ascii="Georgia" w:cs="Georgia" w:eastAsia="Georgia" w:hAnsi="Georgia"/>
                <w:b w:val="false"/>
                <w:bCs w:val="false"/>
                <w:i w:val="false"/>
                <w:iCs w:val="false"/>
                <w:color w:val="3A3935"/>
                <w:sz w:val="20"/>
                <w:szCs w:val="20"/>
              </w:rPr>
              <w:t xml:space="preserve">Method</w:t>
            </w:r>
          </w:p>
        </w:tc>
        <w:tc>
          <w:tcPr>
            <w:tcW w:type="dxa" w:w="6480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/>
            </w:pPr>
            <w:r>
              <w:rPr>
                <w:rFonts w:ascii="Georgia" w:cs="Georgia" w:eastAsia="Georgia" w:hAnsi="Georgia"/>
                <w:b w:val="false"/>
                <w:bCs w:val="false"/>
                <w:i/>
                <w:iCs/>
                <w:color w:val="6B6A63"/>
                <w:sz w:val="20"/>
                <w:szCs w:val="20"/>
              </w:rPr>
              <w:t xml:space="preserve">e.g. bottom-up, cross-checked top-down</w:t>
            </w:r>
          </w:p>
        </w:tc>
      </w:tr>
    </w:tbl>
    <w:p>
      <w:pPr>
        <w:spacing w:after="120" w:before="280"/>
      </w:pPr>
      <w:r>
        <w:rPr>
          <w:rFonts w:ascii="Georgia" w:cs="Georgia" w:eastAsia="Georgia" w:hAnsi="Georgia"/>
          <w:b/>
          <w:bCs/>
          <w:color w:val="17181B"/>
          <w:sz w:val="30"/>
          <w:szCs w:val="30"/>
        </w:rPr>
        <w:t xml:space="preserve">The three numbers</w:t>
      </w:r>
    </w:p>
    <w:tbl>
      <w:tblPr>
        <w:tblW w:type="dxa" w:w="1008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200"/>
        <w:gridCol w:w="2600"/>
        <w:gridCol w:w="5280"/>
      </w:tblGrid>
      <w:tr>
        <w:trPr>
          <w:tblHeader/>
        </w:trPr>
        <w:tc>
          <w:tcPr>
            <w:tcW w:type="dxa" w:w="2200"/>
            <w:shd w:fill="17181B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/>
            </w:pPr>
            <w:r>
              <w:rPr>
                <w:rFonts w:ascii="Consolas" w:cs="Consolas" w:eastAsia="Consolas" w:hAnsi="Consolas"/>
                <w:b/>
                <w:bCs/>
                <w:i w:val="false"/>
                <w:iCs w:val="false"/>
                <w:color w:val="FFFFFF"/>
                <w:sz w:val="18"/>
                <w:szCs w:val="18"/>
              </w:rPr>
              <w:t xml:space="preserve">LAYER</w:t>
            </w:r>
          </w:p>
        </w:tc>
        <w:tc>
          <w:tcPr>
            <w:tcW w:type="dxa" w:w="2600"/>
            <w:shd w:fill="17181B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/>
            </w:pPr>
            <w:r>
              <w:rPr>
                <w:rFonts w:ascii="Consolas" w:cs="Consolas" w:eastAsia="Consolas" w:hAnsi="Consolas"/>
                <w:b/>
                <w:bCs/>
                <w:i w:val="false"/>
                <w:iCs w:val="false"/>
                <w:color w:val="FFFFFF"/>
                <w:sz w:val="18"/>
                <w:szCs w:val="18"/>
              </w:rPr>
              <w:t xml:space="preserve">VALUE</w:t>
            </w:r>
          </w:p>
        </w:tc>
        <w:tc>
          <w:tcPr>
            <w:tcW w:type="dxa" w:w="5280"/>
            <w:shd w:fill="17181B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/>
            </w:pPr>
            <w:r>
              <w:rPr>
                <w:rFonts w:ascii="Consolas" w:cs="Consolas" w:eastAsia="Consolas" w:hAnsi="Consolas"/>
                <w:b/>
                <w:bCs/>
                <w:i w:val="false"/>
                <w:iCs w:val="false"/>
                <w:color w:val="FFFFFF"/>
                <w:sz w:val="18"/>
                <w:szCs w:val="18"/>
              </w:rPr>
              <w:t xml:space="preserve">HOW IT WAS CALCULATED</w:t>
            </w:r>
          </w:p>
        </w:tc>
      </w:tr>
      <w:tr>
        <w:tc>
          <w:tcPr>
            <w:tcW w:type="dxa" w:w="2200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/>
            </w:pPr>
            <w:r>
              <w:rPr>
                <w:rFonts w:ascii="Georgia" w:cs="Georgia" w:eastAsia="Georgia" w:hAnsi="Georgia"/>
                <w:b w:val="false"/>
                <w:bCs w:val="false"/>
                <w:i w:val="false"/>
                <w:iCs w:val="false"/>
                <w:color w:val="3A3935"/>
                <w:sz w:val="20"/>
                <w:szCs w:val="20"/>
              </w:rPr>
              <w:t xml:space="preserve">TAM</w:t>
            </w:r>
          </w:p>
        </w:tc>
        <w:tc>
          <w:tcPr>
            <w:tcW w:type="dxa" w:w="2600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/>
            </w:pPr>
            <w:r>
              <w:rPr>
                <w:rFonts w:ascii="Georgia" w:cs="Georgia" w:eastAsia="Georgia" w:hAnsi="Georgia"/>
                <w:b w:val="false"/>
                <w:bCs w:val="false"/>
                <w:i w:val="false"/>
                <w:iCs w:val="false"/>
                <w:color w:val="3A3935"/>
                <w:sz w:val="20"/>
                <w:szCs w:val="20"/>
              </w:rPr>
              <w:t xml:space="preserve"/>
            </w:r>
          </w:p>
        </w:tc>
        <w:tc>
          <w:tcPr>
            <w:tcW w:type="dxa" w:w="5280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/>
            </w:pPr>
            <w:r>
              <w:rPr>
                <w:rFonts w:ascii="Georgia" w:cs="Georgia" w:eastAsia="Georgia" w:hAnsi="Georgia"/>
                <w:b w:val="false"/>
                <w:bCs w:val="false"/>
                <w:i/>
                <w:iCs/>
                <w:color w:val="6B6A63"/>
                <w:sz w:val="20"/>
                <w:szCs w:val="20"/>
              </w:rPr>
              <w:t xml:space="preserve">e.g. all potential customers x average revenue</w:t>
            </w:r>
          </w:p>
        </w:tc>
      </w:tr>
      <w:tr>
        <w:tc>
          <w:tcPr>
            <w:tcW w:type="dxa" w:w="2200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/>
            </w:pPr>
            <w:r>
              <w:rPr>
                <w:rFonts w:ascii="Georgia" w:cs="Georgia" w:eastAsia="Georgia" w:hAnsi="Georgia"/>
                <w:b w:val="false"/>
                <w:bCs w:val="false"/>
                <w:i w:val="false"/>
                <w:iCs w:val="false"/>
                <w:color w:val="3A3935"/>
                <w:sz w:val="20"/>
                <w:szCs w:val="20"/>
              </w:rPr>
              <w:t xml:space="preserve">SAM</w:t>
            </w:r>
          </w:p>
        </w:tc>
        <w:tc>
          <w:tcPr>
            <w:tcW w:type="dxa" w:w="2600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/>
            </w:pPr>
            <w:r>
              <w:rPr>
                <w:rFonts w:ascii="Georgia" w:cs="Georgia" w:eastAsia="Georgia" w:hAnsi="Georgia"/>
                <w:b w:val="false"/>
                <w:bCs w:val="false"/>
                <w:i w:val="false"/>
                <w:iCs w:val="false"/>
                <w:color w:val="3A3935"/>
                <w:sz w:val="20"/>
                <w:szCs w:val="20"/>
              </w:rPr>
              <w:t xml:space="preserve"/>
            </w:r>
          </w:p>
        </w:tc>
        <w:tc>
          <w:tcPr>
            <w:tcW w:type="dxa" w:w="5280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/>
            </w:pPr>
            <w:r>
              <w:rPr>
                <w:rFonts w:ascii="Georgia" w:cs="Georgia" w:eastAsia="Georgia" w:hAnsi="Georgia"/>
                <w:b w:val="false"/>
                <w:bCs w:val="false"/>
                <w:i/>
                <w:iCs/>
                <w:color w:val="6B6A63"/>
                <w:sz w:val="20"/>
                <w:szCs w:val="20"/>
              </w:rPr>
              <w:t xml:space="preserve">e.g. TAM narrowed to segments we can serve</w:t>
            </w:r>
          </w:p>
        </w:tc>
      </w:tr>
      <w:tr>
        <w:tc>
          <w:tcPr>
            <w:tcW w:type="dxa" w:w="2200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/>
            </w:pPr>
            <w:r>
              <w:rPr>
                <w:rFonts w:ascii="Georgia" w:cs="Georgia" w:eastAsia="Georgia" w:hAnsi="Georgia"/>
                <w:b w:val="false"/>
                <w:bCs w:val="false"/>
                <w:i w:val="false"/>
                <w:iCs w:val="false"/>
                <w:color w:val="3A3935"/>
                <w:sz w:val="20"/>
                <w:szCs w:val="20"/>
              </w:rPr>
              <w:t xml:space="preserve">SOM</w:t>
            </w:r>
          </w:p>
        </w:tc>
        <w:tc>
          <w:tcPr>
            <w:tcW w:type="dxa" w:w="2600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/>
            </w:pPr>
            <w:r>
              <w:rPr>
                <w:rFonts w:ascii="Georgia" w:cs="Georgia" w:eastAsia="Georgia" w:hAnsi="Georgia"/>
                <w:b w:val="false"/>
                <w:bCs w:val="false"/>
                <w:i w:val="false"/>
                <w:iCs w:val="false"/>
                <w:color w:val="3A3935"/>
                <w:sz w:val="20"/>
                <w:szCs w:val="20"/>
              </w:rPr>
              <w:t xml:space="preserve"/>
            </w:r>
          </w:p>
        </w:tc>
        <w:tc>
          <w:tcPr>
            <w:tcW w:type="dxa" w:w="5280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/>
            </w:pPr>
            <w:r>
              <w:rPr>
                <w:rFonts w:ascii="Georgia" w:cs="Georgia" w:eastAsia="Georgia" w:hAnsi="Georgia"/>
                <w:b w:val="false"/>
                <w:bCs w:val="false"/>
                <w:i/>
                <w:iCs/>
                <w:color w:val="6B6A63"/>
                <w:sz w:val="20"/>
                <w:szCs w:val="20"/>
              </w:rPr>
              <w:t xml:space="preserve">e.g. SAM x realistic share, justified below</w:t>
            </w:r>
          </w:p>
        </w:tc>
      </w:tr>
    </w:tbl>
    <w:p>
      <w:pPr>
        <w:spacing w:after="120" w:before="280"/>
      </w:pPr>
      <w:r>
        <w:rPr>
          <w:rFonts w:ascii="Georgia" w:cs="Georgia" w:eastAsia="Georgia" w:hAnsi="Georgia"/>
          <w:b/>
          <w:bCs/>
          <w:color w:val="17181B"/>
          <w:sz w:val="30"/>
          <w:szCs w:val="30"/>
        </w:rPr>
        <w:t xml:space="preserve">Assumptions log</w:t>
      </w:r>
    </w:p>
    <w:tbl>
      <w:tblPr>
        <w:tblW w:type="dxa" w:w="1008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4400"/>
        <w:gridCol w:w="3200"/>
        <w:gridCol w:w="2480"/>
      </w:tblGrid>
      <w:tr>
        <w:trPr>
          <w:tblHeader/>
        </w:trPr>
        <w:tc>
          <w:tcPr>
            <w:tcW w:type="dxa" w:w="4400"/>
            <w:shd w:fill="17181B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/>
            </w:pPr>
            <w:r>
              <w:rPr>
                <w:rFonts w:ascii="Consolas" w:cs="Consolas" w:eastAsia="Consolas" w:hAnsi="Consolas"/>
                <w:b/>
                <w:bCs/>
                <w:i w:val="false"/>
                <w:iCs w:val="false"/>
                <w:color w:val="FFFFFF"/>
                <w:sz w:val="18"/>
                <w:szCs w:val="18"/>
              </w:rPr>
              <w:t xml:space="preserve">ASSUMPTION</w:t>
            </w:r>
          </w:p>
        </w:tc>
        <w:tc>
          <w:tcPr>
            <w:tcW w:type="dxa" w:w="3200"/>
            <w:shd w:fill="17181B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/>
            </w:pPr>
            <w:r>
              <w:rPr>
                <w:rFonts w:ascii="Consolas" w:cs="Consolas" w:eastAsia="Consolas" w:hAnsi="Consolas"/>
                <w:b/>
                <w:bCs/>
                <w:i w:val="false"/>
                <w:iCs w:val="false"/>
                <w:color w:val="FFFFFF"/>
                <w:sz w:val="18"/>
                <w:szCs w:val="18"/>
              </w:rPr>
              <w:t xml:space="preserve">SOURCE</w:t>
            </w:r>
          </w:p>
        </w:tc>
        <w:tc>
          <w:tcPr>
            <w:tcW w:type="dxa" w:w="2480"/>
            <w:shd w:fill="17181B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/>
            </w:pPr>
            <w:r>
              <w:rPr>
                <w:rFonts w:ascii="Consolas" w:cs="Consolas" w:eastAsia="Consolas" w:hAnsi="Consolas"/>
                <w:b/>
                <w:bCs/>
                <w:i w:val="false"/>
                <w:iCs w:val="false"/>
                <w:color w:val="FFFFFF"/>
                <w:sz w:val="18"/>
                <w:szCs w:val="18"/>
              </w:rPr>
              <w:t xml:space="preserve">CONFIDENCE</w:t>
            </w:r>
          </w:p>
        </w:tc>
      </w:tr>
      <w:tr>
        <w:tc>
          <w:tcPr>
            <w:tcW w:type="dxa" w:w="4400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/>
            </w:pPr>
            <w:r>
              <w:rPr>
                <w:rFonts w:ascii="Georgia" w:cs="Georgia" w:eastAsia="Georgia" w:hAnsi="Georgia"/>
                <w:b w:val="false"/>
                <w:bCs w:val="false"/>
                <w:i/>
                <w:iCs/>
                <w:color w:val="6B6A63"/>
                <w:sz w:val="20"/>
                <w:szCs w:val="20"/>
              </w:rPr>
              <w:t xml:space="preserve">e.g. 200,000 target companies in the US</w:t>
            </w:r>
          </w:p>
        </w:tc>
        <w:tc>
          <w:tcPr>
            <w:tcW w:type="dxa" w:w="3200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/>
            </w:pPr>
            <w:r>
              <w:rPr>
                <w:rFonts w:ascii="Georgia" w:cs="Georgia" w:eastAsia="Georgia" w:hAnsi="Georgia"/>
                <w:b w:val="false"/>
                <w:bCs w:val="false"/>
                <w:i/>
                <w:iCs/>
                <w:color w:val="6B6A63"/>
                <w:sz w:val="20"/>
                <w:szCs w:val="20"/>
              </w:rPr>
              <w:t xml:space="preserve">e.g. Census County Business Patterns</w:t>
            </w:r>
          </w:p>
        </w:tc>
        <w:tc>
          <w:tcPr>
            <w:tcW w:type="dxa" w:w="2480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/>
            </w:pPr>
            <w:r>
              <w:rPr>
                <w:rFonts w:ascii="Georgia" w:cs="Georgia" w:eastAsia="Georgia" w:hAnsi="Georgia"/>
                <w:b w:val="false"/>
                <w:bCs w:val="false"/>
                <w:i w:val="false"/>
                <w:iCs w:val="false"/>
                <w:color w:val="3A3935"/>
                <w:sz w:val="20"/>
                <w:szCs w:val="20"/>
              </w:rPr>
              <w:t xml:space="preserve">High</w:t>
            </w:r>
          </w:p>
        </w:tc>
      </w:tr>
      <w:tr>
        <w:tc>
          <w:tcPr>
            <w:tcW w:type="dxa" w:w="4400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/>
            </w:pPr>
            <w:r>
              <w:rPr>
                <w:rFonts w:ascii="Georgia" w:cs="Georgia" w:eastAsia="Georgia" w:hAnsi="Georgia"/>
                <w:b w:val="false"/>
                <w:bCs w:val="false"/>
                <w:i w:val="false"/>
                <w:iCs w:val="false"/>
                <w:color w:val="3A3935"/>
                <w:sz w:val="20"/>
                <w:szCs w:val="20"/>
              </w:rPr>
              <w:t xml:space="preserve"/>
            </w:r>
          </w:p>
        </w:tc>
        <w:tc>
          <w:tcPr>
            <w:tcW w:type="dxa" w:w="3200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/>
            </w:pPr>
            <w:r>
              <w:rPr>
                <w:rFonts w:ascii="Georgia" w:cs="Georgia" w:eastAsia="Georgia" w:hAnsi="Georgia"/>
                <w:b w:val="false"/>
                <w:bCs w:val="false"/>
                <w:i w:val="false"/>
                <w:iCs w:val="false"/>
                <w:color w:val="3A3935"/>
                <w:sz w:val="20"/>
                <w:szCs w:val="20"/>
              </w:rPr>
              <w:t xml:space="preserve"/>
            </w:r>
          </w:p>
        </w:tc>
        <w:tc>
          <w:tcPr>
            <w:tcW w:type="dxa" w:w="2480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/>
            </w:pPr>
            <w:r>
              <w:rPr>
                <w:rFonts w:ascii="Georgia" w:cs="Georgia" w:eastAsia="Georgia" w:hAnsi="Georgia"/>
                <w:b w:val="false"/>
                <w:bCs w:val="false"/>
                <w:i w:val="false"/>
                <w:iCs w:val="false"/>
                <w:color w:val="3A3935"/>
                <w:sz w:val="20"/>
                <w:szCs w:val="20"/>
              </w:rPr>
              <w:t xml:space="preserve"/>
            </w:r>
          </w:p>
        </w:tc>
      </w:tr>
      <w:tr>
        <w:tc>
          <w:tcPr>
            <w:tcW w:type="dxa" w:w="4400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/>
            </w:pPr>
            <w:r>
              <w:rPr>
                <w:rFonts w:ascii="Georgia" w:cs="Georgia" w:eastAsia="Georgia" w:hAnsi="Georgia"/>
                <w:b w:val="false"/>
                <w:bCs w:val="false"/>
                <w:i w:val="false"/>
                <w:iCs w:val="false"/>
                <w:color w:val="3A3935"/>
                <w:sz w:val="20"/>
                <w:szCs w:val="20"/>
              </w:rPr>
              <w:t xml:space="preserve"/>
            </w:r>
          </w:p>
        </w:tc>
        <w:tc>
          <w:tcPr>
            <w:tcW w:type="dxa" w:w="3200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/>
            </w:pPr>
            <w:r>
              <w:rPr>
                <w:rFonts w:ascii="Georgia" w:cs="Georgia" w:eastAsia="Georgia" w:hAnsi="Georgia"/>
                <w:b w:val="false"/>
                <w:bCs w:val="false"/>
                <w:i w:val="false"/>
                <w:iCs w:val="false"/>
                <w:color w:val="3A3935"/>
                <w:sz w:val="20"/>
                <w:szCs w:val="20"/>
              </w:rPr>
              <w:t xml:space="preserve"/>
            </w:r>
          </w:p>
        </w:tc>
        <w:tc>
          <w:tcPr>
            <w:tcW w:type="dxa" w:w="2480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/>
            </w:pPr>
            <w:r>
              <w:rPr>
                <w:rFonts w:ascii="Georgia" w:cs="Georgia" w:eastAsia="Georgia" w:hAnsi="Georgia"/>
                <w:b w:val="false"/>
                <w:bCs w:val="false"/>
                <w:i w:val="false"/>
                <w:iCs w:val="false"/>
                <w:color w:val="3A3935"/>
                <w:sz w:val="20"/>
                <w:szCs w:val="20"/>
              </w:rPr>
              <w:t xml:space="preserve"/>
            </w:r>
          </w:p>
        </w:tc>
      </w:tr>
      <w:tr>
        <w:tc>
          <w:tcPr>
            <w:tcW w:type="dxa" w:w="4400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/>
            </w:pPr>
            <w:r>
              <w:rPr>
                <w:rFonts w:ascii="Georgia" w:cs="Georgia" w:eastAsia="Georgia" w:hAnsi="Georgia"/>
                <w:b w:val="false"/>
                <w:bCs w:val="false"/>
                <w:i w:val="false"/>
                <w:iCs w:val="false"/>
                <w:color w:val="3A3935"/>
                <w:sz w:val="20"/>
                <w:szCs w:val="20"/>
              </w:rPr>
              <w:t xml:space="preserve"/>
            </w:r>
          </w:p>
        </w:tc>
        <w:tc>
          <w:tcPr>
            <w:tcW w:type="dxa" w:w="3200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/>
            </w:pPr>
            <w:r>
              <w:rPr>
                <w:rFonts w:ascii="Georgia" w:cs="Georgia" w:eastAsia="Georgia" w:hAnsi="Georgia"/>
                <w:b w:val="false"/>
                <w:bCs w:val="false"/>
                <w:i w:val="false"/>
                <w:iCs w:val="false"/>
                <w:color w:val="3A3935"/>
                <w:sz w:val="20"/>
                <w:szCs w:val="20"/>
              </w:rPr>
              <w:t xml:space="preserve"/>
            </w:r>
          </w:p>
        </w:tc>
        <w:tc>
          <w:tcPr>
            <w:tcW w:type="dxa" w:w="2480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/>
            </w:pPr>
            <w:r>
              <w:rPr>
                <w:rFonts w:ascii="Georgia" w:cs="Georgia" w:eastAsia="Georgia" w:hAnsi="Georgia"/>
                <w:b w:val="false"/>
                <w:bCs w:val="false"/>
                <w:i w:val="false"/>
                <w:iCs w:val="false"/>
                <w:color w:val="3A3935"/>
                <w:sz w:val="20"/>
                <w:szCs w:val="20"/>
              </w:rPr>
              <w:t xml:space="preserve"/>
            </w:r>
          </w:p>
        </w:tc>
      </w:tr>
    </w:tbl>
    <w:p>
      <w:pPr>
        <w:spacing w:after="120" w:before="280"/>
      </w:pPr>
      <w:r>
        <w:rPr>
          <w:rFonts w:ascii="Georgia" w:cs="Georgia" w:eastAsia="Georgia" w:hAnsi="Georgia"/>
          <w:b/>
          <w:bCs/>
          <w:color w:val="17181B"/>
          <w:sz w:val="30"/>
          <w:szCs w:val="30"/>
        </w:rPr>
        <w:t xml:space="preserve">Sense check</w:t>
      </w:r>
    </w:p>
    <w:p>
      <w:pPr>
        <w:spacing w:after="120"/>
      </w:pPr>
      <w:r>
        <w:rPr>
          <w:rFonts w:ascii="Georgia" w:cs="Georgia" w:eastAsia="Georgia" w:hAnsi="Georgia"/>
          <w:i/>
          <w:iCs/>
          <w:color w:val="6B6A63"/>
          <w:sz w:val="22"/>
          <w:szCs w:val="22"/>
        </w:rPr>
        <w:t xml:space="preserve">Compare the result against a known benchmark: a public rival's revenue, an industry report total, or a per-capita figure. If the estimate implies every gas station in America buys twice a week, the structure is wrong, and the check caught it.</w:t>
      </w:r>
    </w:p>
    <w:tbl>
      <w:tblPr>
        <w:tblW w:type="dxa" w:w="1008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5000"/>
        <w:gridCol w:w="5080"/>
      </w:tblGrid>
      <w:tr>
        <w:trPr>
          <w:tblHeader/>
        </w:trPr>
        <w:tc>
          <w:tcPr>
            <w:tcW w:type="dxa" w:w="5000"/>
            <w:shd w:fill="17181B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/>
            </w:pPr>
            <w:r>
              <w:rPr>
                <w:rFonts w:ascii="Consolas" w:cs="Consolas" w:eastAsia="Consolas" w:hAnsi="Consolas"/>
                <w:b/>
                <w:bCs/>
                <w:i w:val="false"/>
                <w:iCs w:val="false"/>
                <w:color w:val="FFFFFF"/>
                <w:sz w:val="18"/>
                <w:szCs w:val="18"/>
              </w:rPr>
              <w:t xml:space="preserve">CHECK</w:t>
            </w:r>
          </w:p>
        </w:tc>
        <w:tc>
          <w:tcPr>
            <w:tcW w:type="dxa" w:w="5080"/>
            <w:shd w:fill="17181B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/>
            </w:pPr>
            <w:r>
              <w:rPr>
                <w:rFonts w:ascii="Consolas" w:cs="Consolas" w:eastAsia="Consolas" w:hAnsi="Consolas"/>
                <w:b/>
                <w:bCs/>
                <w:i w:val="false"/>
                <w:iCs w:val="false"/>
                <w:color w:val="FFFFFF"/>
                <w:sz w:val="18"/>
                <w:szCs w:val="18"/>
              </w:rPr>
              <w:t xml:space="preserve">RESULT</w:t>
            </w:r>
          </w:p>
        </w:tc>
      </w:tr>
      <w:tr>
        <w:tc>
          <w:tcPr>
            <w:tcW w:type="dxa" w:w="5000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/>
            </w:pPr>
            <w:r>
              <w:rPr>
                <w:rFonts w:ascii="Georgia" w:cs="Georgia" w:eastAsia="Georgia" w:hAnsi="Georgia"/>
                <w:b w:val="false"/>
                <w:bCs w:val="false"/>
                <w:i w:val="false"/>
                <w:iCs w:val="false"/>
                <w:color w:val="3A3935"/>
                <w:sz w:val="20"/>
                <w:szCs w:val="20"/>
              </w:rPr>
              <w:t xml:space="preserve"/>
            </w:r>
          </w:p>
        </w:tc>
        <w:tc>
          <w:tcPr>
            <w:tcW w:type="dxa" w:w="5080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/>
            </w:pPr>
            <w:r>
              <w:rPr>
                <w:rFonts w:ascii="Georgia" w:cs="Georgia" w:eastAsia="Georgia" w:hAnsi="Georgia"/>
                <w:b w:val="false"/>
                <w:bCs w:val="false"/>
                <w:i w:val="false"/>
                <w:iCs w:val="false"/>
                <w:color w:val="3A3935"/>
                <w:sz w:val="20"/>
                <w:szCs w:val="20"/>
              </w:rPr>
              <w:t xml:space="preserve"/>
            </w:r>
          </w:p>
        </w:tc>
      </w:tr>
      <w:tr>
        <w:tc>
          <w:tcPr>
            <w:tcW w:type="dxa" w:w="5000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/>
            </w:pPr>
            <w:r>
              <w:rPr>
                <w:rFonts w:ascii="Georgia" w:cs="Georgia" w:eastAsia="Georgia" w:hAnsi="Georgia"/>
                <w:b w:val="false"/>
                <w:bCs w:val="false"/>
                <w:i w:val="false"/>
                <w:iCs w:val="false"/>
                <w:color w:val="3A3935"/>
                <w:sz w:val="20"/>
                <w:szCs w:val="20"/>
              </w:rPr>
              <w:t xml:space="preserve"/>
            </w:r>
          </w:p>
        </w:tc>
        <w:tc>
          <w:tcPr>
            <w:tcW w:type="dxa" w:w="5080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/>
            </w:pPr>
            <w:r>
              <w:rPr>
                <w:rFonts w:ascii="Georgia" w:cs="Georgia" w:eastAsia="Georgia" w:hAnsi="Georgia"/>
                <w:b w:val="false"/>
                <w:bCs w:val="false"/>
                <w:i w:val="false"/>
                <w:iCs w:val="false"/>
                <w:color w:val="3A3935"/>
                <w:sz w:val="20"/>
                <w:szCs w:val="20"/>
              </w:rPr>
              <w:t xml:space="preserve"/>
            </w:r>
          </w:p>
        </w:tc>
      </w:tr>
    </w:tbl>
    <w:sectPr>
      <w:footerReference w:type="default" r:id="rId7"/>
      <w:pgSz w:w="12240" w:h="15840" w:orient="portrait"/>
      <w:pgMar w:top="1080" w:right="1080" w:bottom="1080" w:left="108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jc w:val="center"/>
    </w:pPr>
    <w:r>
      <w:rPr>
        <w:rFonts w:ascii="Consolas" w:cs="Consolas" w:eastAsia="Consolas" w:hAnsi="Consolas"/>
        <w:color w:val="6B6A63"/>
        <w:sz w:val="16"/>
        <w:szCs w:val="16"/>
      </w:rPr>
      <w:t xml:space="preserve">Free template from Market Intelligence Tools · marketintelligencetools.com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oter" Target="footer1.xml"/><Relationship Id="rId8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2026-07-23T09:41:48.799Z</dcterms:created>
  <dcterms:modified xsi:type="dcterms:W3CDTF">2026-07-23T09:41:48.799Z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