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onsolas" w:hAnsi="Consolas"/>
          <w:b/>
          <w:color w:val="FFFFFF"/>
          <w:sz w:val="20"/>
          <w:shd w:val="clear" w:fill="17181B"/>
        </w:rPr>
        <w:t>MI</w:t>
      </w:r>
      <w:r>
        <w:rPr>
          <w:rFonts w:ascii="Consolas" w:hAnsi="Consolas"/>
          <w:b/>
          <w:color w:val="17181B"/>
          <w:sz w:val="20"/>
        </w:rPr>
        <w:t xml:space="preserve">  MARKET INTELLIGENCE TOOLS</w:t>
      </w:r>
      <w:r>
        <w:rPr>
          <w:rFonts w:ascii="Consolas" w:hAnsi="Consolas"/>
          <w:color w:val="6B6A63"/>
          <w:sz w:val="17"/>
        </w:rPr>
        <w:t xml:space="preserve">   ·   marketintelligencetools.com/templates/</w:t>
      </w:r>
    </w:p>
    <w:p>
      <w:r>
        <w:rPr>
          <w:rFonts w:ascii="Georgia" w:hAnsi="Georgia"/>
          <w:b/>
          <w:color w:val="17181B"/>
          <w:sz w:val="52"/>
        </w:rPr>
        <w:t>Messaging Framework Template</w:t>
      </w:r>
    </w:p>
    <w:p>
      <w:r>
        <w:rPr>
          <w:rFonts w:ascii="Georgia" w:hAnsi="Georgia"/>
          <w:i/>
          <w:color w:val="6B6A63"/>
          <w:sz w:val="22"/>
        </w:rPr>
        <w:t>Fill in each section below. The italic row in each table is a worked example from a B2B scheduling-tool launch.</w:t>
      </w:r>
    </w:p>
    <w:p>
      <w:r>
        <w:rPr>
          <w:rFonts w:ascii="Georgia" w:hAnsi="Georgia"/>
          <w:b/>
          <w:color w:val="17181B"/>
          <w:sz w:val="30"/>
        </w:rPr>
        <w:t>1. Value Proposition</w:t>
      </w:r>
    </w:p>
    <w:p>
      <w:r>
        <w:rPr>
          <w:rFonts w:ascii="Arial" w:hAnsi="Arial"/>
          <w:i w:val="0"/>
          <w:sz w:val="20"/>
        </w:rPr>
        <w:t>The single sentence the product delivers, for whom, and why it matters more than the status quo.</w:t>
      </w:r>
    </w:p>
    <w:p>
      <w:r>
        <w:rPr>
          <w:rFonts w:ascii="Arial" w:hAnsi="Arial"/>
          <w:i/>
          <w:color w:val="6B6A63"/>
          <w:sz w:val="20"/>
        </w:rPr>
        <w:t>Example: "Cut weekly scheduling admin from four hours to twenty minutes."</w:t>
      </w:r>
    </w:p>
    <w:p>
      <w:r>
        <w:rPr>
          <w:rFonts w:ascii="Arial" w:hAnsi="Arial"/>
          <w:i w:val="0"/>
          <w:sz w:val="20"/>
        </w:rPr>
        <w:t>Your value proposition: _______________________________________________</w:t>
      </w:r>
    </w:p>
    <w:p>
      <w:r>
        <w:rPr>
          <w:rFonts w:ascii="Georgia" w:hAnsi="Georgia"/>
          <w:b/>
          <w:color w:val="17181B"/>
          <w:sz w:val="30"/>
        </w:rPr>
        <w:t>2. Messaging Pillars and Proof Points</w:t>
      </w:r>
    </w:p>
    <w:p>
      <w:r>
        <w:rPr>
          <w:rFonts w:ascii="Arial" w:hAnsi="Arial"/>
          <w:i w:val="0"/>
          <w:sz w:val="20"/>
        </w:rPr>
        <w:t>List three to five pillars. Each pillar needs at least one proof point attached before it goes to sales.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fill="17181B"/>
          </w:tcPr>
          <w:p>
            <w:r/>
            <w:r>
              <w:rPr>
                <w:rFonts w:ascii="Consolas" w:hAnsi="Consolas"/>
                <w:b/>
                <w:color w:val="FFFFFF"/>
                <w:sz w:val="19"/>
              </w:rPr>
              <w:t>Pillar</w:t>
            </w:r>
          </w:p>
        </w:tc>
        <w:tc>
          <w:tcPr>
            <w:tcW w:type="dxa" w:w="4320"/>
            <w:shd w:val="clear" w:fill="17181B"/>
          </w:tcPr>
          <w:p>
            <w:r/>
            <w:r>
              <w:rPr>
                <w:rFonts w:ascii="Consolas" w:hAnsi="Consolas"/>
                <w:b/>
                <w:color w:val="FFFFFF"/>
                <w:sz w:val="19"/>
              </w:rPr>
              <w:t>Proof Point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i/>
                <w:color w:val="6B6A63"/>
                <w:sz w:val="19"/>
              </w:rPr>
              <w:t>Automatic conflict detection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i/>
                <w:color w:val="6B6A63"/>
                <w:sz w:val="19"/>
              </w:rPr>
              <w:t>Flags overlapping calendar requests before a manager has to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sz w:val="19"/>
              </w:rPr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sz w:val="19"/>
              </w:rPr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sz w:val="19"/>
              </w:rPr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sz w:val="19"/>
              </w:rPr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sz w:val="19"/>
              </w:rPr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sz w:val="19"/>
              </w:rPr>
            </w:r>
          </w:p>
        </w:tc>
      </w:tr>
    </w:tbl>
    <w:p>
      <w:r>
        <w:rPr>
          <w:rFonts w:ascii="Georgia" w:hAnsi="Georgia"/>
          <w:b/>
          <w:color w:val="17181B"/>
          <w:sz w:val="30"/>
        </w:rPr>
        <w:t>3. Buyer Personas and Pain Points</w:t>
      </w:r>
    </w:p>
    <w:p>
      <w:r>
        <w:rPr>
          <w:rFonts w:ascii="Arial" w:hAnsi="Arial"/>
          <w:i w:val="0"/>
          <w:sz w:val="20"/>
        </w:rPr>
        <w:t>Name each persona, the pain point they own, and the language they use to describe it.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17181B"/>
          </w:tcPr>
          <w:p>
            <w:r/>
            <w:r>
              <w:rPr>
                <w:rFonts w:ascii="Consolas" w:hAnsi="Consolas"/>
                <w:b/>
                <w:color w:val="FFFFFF"/>
                <w:sz w:val="19"/>
              </w:rPr>
              <w:t>Persona</w:t>
            </w:r>
          </w:p>
        </w:tc>
        <w:tc>
          <w:tcPr>
            <w:tcW w:type="dxa" w:w="2880"/>
            <w:shd w:val="clear" w:fill="17181B"/>
          </w:tcPr>
          <w:p>
            <w:r/>
            <w:r>
              <w:rPr>
                <w:rFonts w:ascii="Consolas" w:hAnsi="Consolas"/>
                <w:b/>
                <w:color w:val="FFFFFF"/>
                <w:sz w:val="19"/>
              </w:rPr>
              <w:t>Pain Point</w:t>
            </w:r>
          </w:p>
        </w:tc>
        <w:tc>
          <w:tcPr>
            <w:tcW w:type="dxa" w:w="2880"/>
            <w:shd w:val="clear" w:fill="17181B"/>
          </w:tcPr>
          <w:p>
            <w:r/>
            <w:r>
              <w:rPr>
                <w:rFonts w:ascii="Consolas" w:hAnsi="Consolas"/>
                <w:b/>
                <w:color w:val="FFFFFF"/>
                <w:sz w:val="19"/>
              </w:rPr>
              <w:t>Their Language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/>
                <w:i/>
                <w:color w:val="6B6A63"/>
                <w:sz w:val="19"/>
              </w:rPr>
              <w:t>Operations manager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/>
                <w:i/>
                <w:color w:val="6B6A63"/>
                <w:sz w:val="19"/>
              </w:rPr>
              <w:t>Reconciling conflicting calendar requests by hand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/>
                <w:i/>
                <w:color w:val="6B6A63"/>
                <w:sz w:val="19"/>
              </w:rPr>
              <w:t>"I spend hours a week just untangling the schedule"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/>
                <w:sz w:val="19"/>
              </w:rPr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/>
                <w:sz w:val="19"/>
              </w:rPr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/>
                <w:sz w:val="19"/>
              </w:rPr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/>
                <w:sz w:val="19"/>
              </w:rPr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/>
                <w:sz w:val="19"/>
              </w:rPr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/>
                <w:sz w:val="19"/>
              </w:rPr>
            </w:r>
          </w:p>
        </w:tc>
      </w:tr>
    </w:tbl>
    <w:p>
      <w:r>
        <w:rPr>
          <w:rFonts w:ascii="Georgia" w:hAnsi="Georgia"/>
          <w:b/>
          <w:color w:val="17181B"/>
          <w:sz w:val="30"/>
        </w:rPr>
        <w:t>4. Positioning Statement</w:t>
      </w:r>
    </w:p>
    <w:p>
      <w:r>
        <w:rPr>
          <w:rFonts w:ascii="Arial" w:hAnsi="Arial"/>
          <w:i w:val="0"/>
          <w:sz w:val="20"/>
        </w:rPr>
        <w:t>Use the positioning statement template (see the positioning statement template on this site) to connect the value proposition to a named target audience and market category.</w:t>
      </w:r>
    </w:p>
    <w:p>
      <w:r>
        <w:rPr>
          <w:rFonts w:ascii="Arial" w:hAnsi="Arial"/>
          <w:i w:val="0"/>
          <w:sz w:val="20"/>
        </w:rPr>
        <w:t>Your positioning statement: ___________________________________________</w:t>
      </w:r>
    </w:p>
    <w:p>
      <w:r>
        <w:rPr>
          <w:rFonts w:ascii="Georgia" w:hAnsi="Georgia"/>
          <w:b/>
          <w:color w:val="17181B"/>
          <w:sz w:val="30"/>
        </w:rPr>
        <w:t>5. Brand Identity and Voice</w:t>
      </w:r>
    </w:p>
    <w:p>
      <w:r>
        <w:rPr>
          <w:rFonts w:ascii="Arial" w:hAnsi="Arial"/>
          <w:i w:val="0"/>
          <w:sz w:val="20"/>
        </w:rPr>
        <w:t>Notes on tone, vocabulary, and style choices every team should follow: 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