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PEST Analysis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External factors only: political, economic, social, and technological. Review before entering a market or launching, and re-run regularly.</w:t>
      </w:r>
    </w:p>
    <w:p>
      <w:pPr>
        <w:spacing w:after="120"/>
      </w:pPr>
      <w:r>
        <w:rPr>
          <w:rFonts w:ascii="Georgia" w:cs="Georgia" w:eastAsia="Georgia" w:hAnsi="Georgia"/>
          <w:i w:val="false"/>
          <w:iCs w:val="false"/>
          <w:color w:val="3A3935"/>
          <w:sz w:val="22"/>
          <w:szCs w:val="22"/>
        </w:rPr>
        <w:t xml:space="preserve">Objective (market, launch, or project this analysis serves): ________________________________    Date: ____________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Political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Government policies, political stability, labor laws, trade rules, tax direction.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1600"/>
        <w:gridCol w:w="24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FACTOR</w:t>
            </w:r>
          </w:p>
        </w:tc>
        <w:tc>
          <w:tcPr>
            <w:tcW w:type="dxa" w:w="2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POTENTIAL IMPACT</w:t>
            </w:r>
          </w:p>
        </w:tc>
        <w:tc>
          <w:tcPr>
            <w:tcW w:type="dxa" w:w="1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LIKELIHOOD</w:t>
            </w:r>
          </w:p>
        </w:tc>
        <w:tc>
          <w:tcPr>
            <w:tcW w:type="dxa" w:w="2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RESPONSE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data-residency bill in committee</w:t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hosting costs rise in region</w:t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Medium</w:t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price EU hosting into 2027 plan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Economic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Inflation rates, consumer income levels, interest rates, exchange rates, downturn risk.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1600"/>
        <w:gridCol w:w="24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FACTOR</w:t>
            </w:r>
          </w:p>
        </w:tc>
        <w:tc>
          <w:tcPr>
            <w:tcW w:type="dxa" w:w="2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POTENTIAL IMPACT</w:t>
            </w:r>
          </w:p>
        </w:tc>
        <w:tc>
          <w:tcPr>
            <w:tcW w:type="dxa" w:w="1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LIKELIHOOD</w:t>
            </w:r>
          </w:p>
        </w:tc>
        <w:tc>
          <w:tcPr>
            <w:tcW w:type="dxa" w:w="2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RESPONSE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Social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Demographic changes, cultural trends, remote working shifts, consumer attitudes.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1600"/>
        <w:gridCol w:w="24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FACTOR</w:t>
            </w:r>
          </w:p>
        </w:tc>
        <w:tc>
          <w:tcPr>
            <w:tcW w:type="dxa" w:w="2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POTENTIAL IMPACT</w:t>
            </w:r>
          </w:p>
        </w:tc>
        <w:tc>
          <w:tcPr>
            <w:tcW w:type="dxa" w:w="1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LIKELIHOOD</w:t>
            </w:r>
          </w:p>
        </w:tc>
        <w:tc>
          <w:tcPr>
            <w:tcW w:type="dxa" w:w="2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RESPONSE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Technological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Innovations, platform shifts, automation, R&amp;D direction, adoption curves.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1600"/>
        <w:gridCol w:w="24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FACTOR</w:t>
            </w:r>
          </w:p>
        </w:tc>
        <w:tc>
          <w:tcPr>
            <w:tcW w:type="dxa" w:w="2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POTENTIAL IMPACT</w:t>
            </w:r>
          </w:p>
        </w:tc>
        <w:tc>
          <w:tcPr>
            <w:tcW w:type="dxa" w:w="1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LIKELIHOOD</w:t>
            </w:r>
          </w:p>
        </w:tc>
        <w:tc>
          <w:tcPr>
            <w:tcW w:type="dxa" w:w="2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RESPONSE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PESTLE extension</w:t>
      </w:r>
    </w:p>
    <w:p>
      <w:pPr>
        <w:spacing w:after="12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Add Legal (regulation, intellectual property, compliance) and Environmental (climate, sustainability rules) rows when they touch the objective.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1600"/>
        <w:gridCol w:w="2480"/>
      </w:tblGrid>
      <w:tr>
        <w:trPr>
          <w:tblHeader/>
        </w:trPr>
        <w:tc>
          <w:tcPr>
            <w:tcW w:type="dxa" w:w="3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FACTOR</w:t>
            </w:r>
          </w:p>
        </w:tc>
        <w:tc>
          <w:tcPr>
            <w:tcW w:type="dxa" w:w="2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POTENTIAL IMPACT</w:t>
            </w:r>
          </w:p>
        </w:tc>
        <w:tc>
          <w:tcPr>
            <w:tcW w:type="dxa" w:w="1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LIKELIHOOD</w:t>
            </w:r>
          </w:p>
        </w:tc>
        <w:tc>
          <w:tcPr>
            <w:tcW w:type="dxa" w:w="24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RESPONSE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Legal:</w:t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>Environmental:</w:t>
            </w:r>
          </w:p>
        </w:tc>
        <w:tc>
          <w:tcPr>
            <w:tcW w:type="dxa" w:w="2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Actions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2000"/>
        <w:gridCol w:w="1600"/>
        <w:gridCol w:w="2080"/>
      </w:tblGrid>
      <w:tr>
        <w:trPr>
          <w:tblHeader/>
        </w:trPr>
        <w:tc>
          <w:tcPr>
            <w:tcW w:type="dxa" w:w="44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RISK OR OPPORTUNITY</w:t>
            </w:r>
          </w:p>
        </w:tc>
        <w:tc>
          <w:tcPr>
            <w:tcW w:type="dxa" w:w="20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6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DUE</w:t>
            </w:r>
          </w:p>
        </w:tc>
        <w:tc>
          <w:tcPr>
            <w:tcW w:type="dxa" w:w="20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FEEDS INTO</w:t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SWOT threats quadrant</w:t>
            </w:r>
          </w:p>
        </w:tc>
      </w:tr>
      <w:tr>
        <w:tc>
          <w:tcPr>
            <w:tcW w:type="dxa" w:w="4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0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2026-07-23T10:01:03.537Z</dcterms:created>
  <dcterms:modified xsi:type="dcterms:W3CDTF">2026-07-23T10:01:03.538Z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