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Consolas" w:hAnsi="Consolas"/>
          <w:b/>
          <w:color w:val="FFFFFF"/>
          <w:sz w:val="20"/>
          <w:shd w:val="clear" w:fill="17181B"/>
        </w:rPr>
        <w:t>MI</w:t>
      </w:r>
      <w:r>
        <w:rPr>
          <w:rFonts w:ascii="Consolas" w:hAnsi="Consolas"/>
          <w:b/>
          <w:color w:val="17181B"/>
          <w:sz w:val="20"/>
        </w:rPr>
        <w:t xml:space="preserve">  MARKET INTELLIGENCE TOOLS   ·   marketintelligencetools.com/templates/</w:t>
      </w:r>
    </w:p>
    <w:p>
      <w:pPr>
        <w:spacing w:before="80" w:after="80"/>
      </w:pPr>
      <w:r>
        <w:rPr>
          <w:rFonts w:ascii="Georgia" w:hAnsi="Georgia"/>
          <w:b/>
          <w:color w:val="17181B"/>
          <w:sz w:val="52"/>
        </w:rPr>
        <w:t>Root Cause Analysis Report</w:t>
      </w:r>
    </w:p>
    <w:p>
      <w:pPr>
        <w:spacing w:after="160"/>
      </w:pPr>
      <w:r>
        <w:rPr>
          <w:rFonts w:ascii="Georgia" w:hAnsi="Georgia"/>
          <w:i/>
          <w:color w:val="6B6A63"/>
          <w:sz w:val="22"/>
        </w:rPr>
        <w:t>Fill each section in order. Do not skip to corrective actions before the root cause is confirmed. Italic text shows the worked example from Ridgeline Components; overwrite it with your own investigation.</w:t>
      </w:r>
    </w:p>
    <w:p>
      <w:pPr>
        <w:spacing w:after="200"/>
      </w:pPr>
      <w:r>
        <w:rPr>
          <w:rFonts w:ascii="Consolas" w:hAnsi="Consolas"/>
          <w:color w:val="6B6A63"/>
          <w:sz w:val="19"/>
        </w:rPr>
        <w:t>Report #: ____________     Prepared by: ____________     Date: ____________</w:t>
      </w:r>
    </w:p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1. Problem Statement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Name the asset or process, the date and time, and the measured impact. “The machine broke” carries no data anyone can act on.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880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FIELD</w:t>
            </w:r>
          </w:p>
        </w:tc>
        <w:tc>
          <w:tcPr>
            <w:tcW w:type="dxa" w:w="6840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ENTRY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Asset / process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CNC station 4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Date &amp; time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Tuesday, 06:40–14:10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Downtime duration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7.5 hours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Cost impact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$22,400 customer return (scrap and freight)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Description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58 of 340 brackets (17%) failed incoming inspection for exceeding a 0.010-inch tolerance on a mounting hole.</w:t>
            </w:r>
          </w:p>
        </w:tc>
      </w:tr>
    </w:tbl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2. Timeline of Events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Order every event chronologically from the last normal state through the failure.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880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DATE / TIME</w:t>
            </w:r>
          </w:p>
        </w:tc>
        <w:tc>
          <w:tcPr>
            <w:tcW w:type="dxa" w:w="6840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EVENT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90 days before shipment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Locating pin due for calendar-based replacement; interval missed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Shipment day, 06:40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First bracket of the run machined on CNC station 4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06:40–14:10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340 brackets produced across the shift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14:10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Batch shipped to the automotive supplier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+2 days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Incoming inspection rejects 58 units (17%) for tolerance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+3 days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Investigation opens; station log shows the pin at 93 days old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</w:tbl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3. Root Cause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Keep asking “why” until the answer stops producing a deeper “why.” A cause that still has a “why” behind it is a symptom, not the root.</w:t>
      </w:r>
    </w:p>
    <w:p>
      <w:pPr>
        <w:spacing w:after="160"/>
      </w:pPr>
      <w:r>
        <w:rPr>
          <w:rFonts w:ascii="Arial" w:hAnsi="Arial"/>
          <w:b/>
          <w:i/>
          <w:color w:val="6B6A63"/>
          <w:sz w:val="19"/>
        </w:rPr>
        <w:t xml:space="preserve">Worked example: </w:t>
      </w:r>
      <w:r>
        <w:rPr>
          <w:rFonts w:ascii="Georgia" w:hAnsi="Georgia"/>
          <w:i/>
          <w:color w:val="6B6A63"/>
          <w:sz w:val="21"/>
        </w:rPr>
        <w:t>A pin replacement interval tracked by calendar date, on a station running above its typical load for six weeks, let the locating pin run 3 weeks past its rated 90-day interval. The worn pin let the part drift 0.008 inches per cycle, enough to push later units past the 0.010-inch tolerance.</w:t>
      </w:r>
    </w:p>
    <w:p>
      <w:pPr>
        <w:spacing w:after="200"/>
      </w:pPr>
      <w:r>
        <w:rPr>
          <w:rFonts w:ascii="Arial" w:hAnsi="Arial"/>
          <w:b/>
          <w:color w:val="17181B"/>
          <w:sz w:val="20"/>
        </w:rPr>
        <w:t xml:space="preserve">Your root cause: </w:t>
      </w:r>
      <w:r>
        <w:rPr>
          <w:rFonts w:ascii="Arial" w:hAnsi="Arial"/>
          <w:color w:val="6B6A63"/>
          <w:sz w:val="20"/>
        </w:rPr>
        <w:t>______________________________________________________________________</w:t>
      </w:r>
    </w:p>
    <w:p>
      <w:pPr>
        <w:spacing w:after="200"/>
      </w:pPr>
      <w:r>
        <w:rPr>
          <w:rFonts w:ascii="Arial" w:hAnsi="Arial"/>
          <w:b/>
          <w:color w:val="17181B"/>
          <w:sz w:val="20"/>
        </w:rPr>
        <w:t xml:space="preserve">: </w:t>
      </w:r>
      <w:r>
        <w:rPr>
          <w:rFonts w:ascii="Arial" w:hAnsi="Arial"/>
          <w:color w:val="6B6A63"/>
          <w:sz w:val="20"/>
        </w:rPr>
        <w:t>______________________________________________________________________</w:t>
      </w:r>
    </w:p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4. Contributing Factors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A contributing factor raised the odds or severity of the failure without causing it alone.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864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#</w:t>
            </w:r>
          </w:p>
        </w:tc>
        <w:tc>
          <w:tcPr>
            <w:tcW w:type="dxa" w:w="8856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FACTOR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1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The daily inspection checklist for CNC station 4 didn't include a fixture wear check.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2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PM tracking logged the pin by calendar date, not cycle count, so the overdue interval was never flagged automatically.</w:t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  <w:t>3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  <w:t>4</w:t>
            </w:r>
          </w:p>
        </w:tc>
        <w:tc>
          <w:tcPr>
            <w:tcW w:type="dxa" w:w="504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</w:tbl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5. Corrective &amp; Preventive Actions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Assign every solution to a named owner with a due date. Track status in the companion Corrective Action Tracker (XLSX).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5040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ACTION</w:t>
            </w:r>
          </w:p>
        </w:tc>
        <w:tc>
          <w:tcPr>
            <w:tcW w:type="dxa" w:w="2736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OWNER</w:t>
            </w:r>
          </w:p>
        </w:tc>
        <w:tc>
          <w:tcPr>
            <w:tcW w:type="dxa" w:w="1944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DUE DATE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Replace the locating pin on CNC station 4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Maintenance lead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Same day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Switch PM tracking on all 4 CNC stations from calendar date to cycle count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Reliability engineer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15 business days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Add a fixture wear check to the daily inspection checklist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Quality supervisor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5 business days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</w:tbl>
    <w:p>
      <w:pPr>
        <w:spacing w:before="280" w:after="80"/>
      </w:pPr>
      <w:r>
        <w:rPr>
          <w:rFonts w:ascii="Georgia" w:hAnsi="Georgia"/>
          <w:b/>
          <w:color w:val="17181B"/>
          <w:sz w:val="30"/>
        </w:rPr>
        <w:t>6. Verification Plan</w:t>
      </w:r>
    </w:p>
    <w:p>
      <w:pPr>
        <w:spacing w:after="120"/>
      </w:pPr>
      <w:r>
        <w:rPr>
          <w:rFonts w:ascii="Georgia" w:hAnsi="Georgia"/>
          <w:i/>
          <w:color w:val="6B6A63"/>
          <w:sz w:val="20"/>
        </w:rPr>
        <w:t>Confirm the solution worked before closing the report, and log any follow-ups still open.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4608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VERIFICATION METHOD</w:t>
            </w:r>
          </w:p>
        </w:tc>
        <w:tc>
          <w:tcPr>
            <w:tcW w:type="dxa" w:w="2448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CHECK DATE</w:t>
            </w:r>
          </w:p>
        </w:tc>
        <w:tc>
          <w:tcPr>
            <w:tcW w:type="dxa" w:w="2664"/>
            <w:shd w:val="clear" w:fill="17181B"/>
          </w:tcPr>
          <w:p>
            <w:r/>
            <w:r>
              <w:rPr>
                <w:rFonts w:ascii="Consolas" w:hAnsi="Consolas"/>
                <w:b/>
                <w:color w:val="FFFFFF"/>
                <w:sz w:val="18"/>
              </w:rPr>
              <w:t>FOLLOW-UP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Measure the first 25 units of the next batch for tolerance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30-day mark</w:t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/>
                <w:color w:val="6B6A63"/>
                <w:sz w:val="20"/>
              </w:rPr>
              <w:t>60-day review to confirm the fix held</w:t>
            </w:r>
          </w:p>
        </w:tc>
      </w:tr>
      <w:tr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  <w:tc>
          <w:tcPr>
            <w:tcW w:type="dxa" w:w="3360"/>
          </w:tcPr>
          <w:p>
            <w:r>
              <w:rPr>
                <w:rFonts w:ascii="Georgia" w:hAnsi="Georgia"/>
                <w:i w:val="0"/>
                <w:color w:val="17181B"/>
                <w:sz w:val="20"/>
              </w:rPr>
            </w:r>
          </w:p>
        </w:tc>
      </w:tr>
    </w:tbl>
    <w:p>
      <w:pPr>
        <w:spacing w:before="360"/>
      </w:pPr>
      <w:r>
        <w:rPr>
          <w:rFonts w:ascii="Consolas" w:hAnsi="Consolas"/>
          <w:color w:val="6B6A63"/>
          <w:sz w:val="17"/>
        </w:rPr>
        <w:t>marketintelligencetools.com/templates/root-cause-analysis-report-template — pairs with the Corrective Action Tracker (XLSX)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