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SWOT Analysis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Define a specific objective before filling anything in. Limit each quadrant to 3-5 measurable points.</w:t>
      </w:r>
    </w:p>
    <w:p>
      <w:pPr>
        <w:spacing w:after="120"/>
      </w:pPr>
      <w:r>
        <w:rPr>
          <w:rFonts w:ascii="Georgia" w:cs="Georgia" w:eastAsia="Georgia" w:hAnsi="Georgia"/>
          <w:i w:val="false"/>
          <w:iCs w:val="false"/>
          <w:color w:val="3A3935"/>
          <w:sz w:val="22"/>
          <w:szCs w:val="22"/>
        </w:rPr>
        <w:t xml:space="preserve">Objective of this analysis: ________________________________________    Date: ____________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Strengths and weaknesses are internal factors you control. Opportunities and threats are external factors beyond your control.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shd w:fill="EAF3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17181B"/>
                <w:sz w:val="22"/>
                <w:szCs w:val="22"/>
              </w:rPr>
              <w:t xml:space="preserve">STRENGTHS  (internal, helpful)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18"/>
                <w:szCs w:val="18"/>
              </w:rPr>
              <w:t xml:space="preserve">Internal factors that give an advantage. e.g. renewal rate 14 points above category median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1.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2.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3.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4.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5.</w:t>
            </w:r>
          </w:p>
        </w:tc>
        <w:tc>
          <w:tcPr>
            <w:tcW w:type="dxa" w:w="5040"/>
            <w:shd w:fill="F7EDE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17181B"/>
                <w:sz w:val="22"/>
                <w:szCs w:val="22"/>
              </w:rPr>
              <w:t xml:space="preserve">WEAKNESSES  (internal, harmful)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18"/>
                <w:szCs w:val="18"/>
              </w:rPr>
              <w:t xml:space="preserve">Internal factors that need improvement. e.g. onboarding takes 6 weeks vs rivals' 2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1.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2.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3.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4.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5.</w:t>
            </w:r>
          </w:p>
        </w:tc>
      </w:tr>
      <w:tr>
        <w:tc>
          <w:tcPr>
            <w:tcW w:type="dxa" w:w="5040"/>
            <w:shd w:fill="F5F0E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17181B"/>
                <w:sz w:val="22"/>
                <w:szCs w:val="22"/>
              </w:rPr>
              <w:t xml:space="preserve">OPPORTUNITIES  (external, helpful)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18"/>
                <w:szCs w:val="18"/>
              </w:rPr>
              <w:t xml:space="preserve">External trends to act on. e.g. main rival raised prices 12% in March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1.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2.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3.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4.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5.</w:t>
            </w:r>
          </w:p>
        </w:tc>
        <w:tc>
          <w:tcPr>
            <w:tcW w:type="dxa" w:w="5040"/>
            <w:shd w:fill="EFEEE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17181B"/>
                <w:sz w:val="22"/>
                <w:szCs w:val="22"/>
              </w:rPr>
              <w:t xml:space="preserve">THREATS  (external, harmful)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18"/>
                <w:szCs w:val="18"/>
              </w:rPr>
              <w:t xml:space="preserve">External factors that could harm performance. e.g. platform API pricing change announced for 2027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1.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2.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3.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4.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5.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Prioritize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Circle the one item per quadrant with the largest measurable impact. These four feed the action plan below.</w:t>
      </w:r>
    </w:p>
    <w:p>
      <w:r>
        <w:br w:type="page"/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TOWS matrix: turn the analysis into strategy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Pair internal and external factors to generate strategies. Fill each cell with one concrete action.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840"/>
        <w:gridCol w:w="3840"/>
      </w:tblGrid>
      <w:tr>
        <w:trPr>
          <w:tblHeader/>
        </w:trPr>
        <w:tc>
          <w:tcPr>
            <w:tcW w:type="dxa" w:w="2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384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OPPORTUNITIES</w:t>
            </w:r>
          </w:p>
        </w:tc>
        <w:tc>
          <w:tcPr>
            <w:tcW w:type="dxa" w:w="384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THREATS</w:t>
            </w:r>
          </w:p>
        </w:tc>
      </w:tr>
      <w:tr>
        <w:tc>
          <w:tcPr>
            <w:tcW w:type="dxa" w:w="2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Strengths</w:t>
            </w:r>
          </w:p>
        </w:tc>
        <w:tc>
          <w:tcPr>
            <w:tcW w:type="dxa" w:w="38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SO: use strengths to capture opportunities</w:t>
            </w:r>
          </w:p>
        </w:tc>
        <w:tc>
          <w:tcPr>
            <w:tcW w:type="dxa" w:w="38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ST: use strengths to blunt threats</w:t>
            </w:r>
          </w:p>
        </w:tc>
      </w:tr>
      <w:tr>
        <w:tc>
          <w:tcPr>
            <w:tcW w:type="dxa" w:w="2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Weaknesses</w:t>
            </w:r>
          </w:p>
        </w:tc>
        <w:tc>
          <w:tcPr>
            <w:tcW w:type="dxa" w:w="38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WO: fix weaknesses that block opportunities</w:t>
            </w:r>
          </w:p>
        </w:tc>
        <w:tc>
          <w:tcPr>
            <w:tcW w:type="dxa" w:w="384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WT: defend where weakness meets threat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Action plan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2000"/>
        <w:gridCol w:w="1600"/>
        <w:gridCol w:w="2080"/>
      </w:tblGrid>
      <w:tr>
        <w:trPr>
          <w:tblHeader/>
        </w:trPr>
        <w:tc>
          <w:tcPr>
            <w:tcW w:type="dxa" w:w="4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0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DUE</w:t>
            </w:r>
          </w:p>
        </w:tc>
        <w:tc>
          <w:tcPr>
            <w:tcW w:type="dxa" w:w="20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MEASURE OF SUCCESS</w:t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2026-07-23T08:38:24.499Z</dcterms:created>
  <dcterms:modified xsi:type="dcterms:W3CDTF">2026-07-23T08:38:24.499Z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